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FDB9" w14:textId="5ACD759E" w:rsidR="004D1D26" w:rsidRDefault="00983A16">
      <w:pPr>
        <w:spacing w:after="120"/>
      </w:pPr>
      <w:r>
        <w:rPr>
          <w:b/>
          <w:bCs/>
          <w:i/>
          <w:iCs/>
          <w:color w:val="000000"/>
          <w:sz w:val="40"/>
          <w:szCs w:val="40"/>
        </w:rPr>
        <w:t>Waiora Te Ūkaipō – The Homeland</w:t>
      </w:r>
    </w:p>
    <w:p w14:paraId="59ED97C5" w14:textId="77777777" w:rsidR="004D1D26" w:rsidRDefault="00953D1B">
      <w:pPr>
        <w:spacing w:after="320"/>
      </w:pPr>
      <w:r>
        <w:rPr>
          <w:color w:val="444444"/>
          <w:sz w:val="24"/>
          <w:szCs w:val="24"/>
        </w:rPr>
        <w:t>Relaxed Performance — Tuesday 17 March 2026, 7:00pm</w:t>
      </w:r>
    </w:p>
    <w:p w14:paraId="0AE43A2F" w14:textId="77777777" w:rsidR="004D1D26" w:rsidRDefault="00953D1B">
      <w:pPr>
        <w:pStyle w:val="Heading1"/>
      </w:pPr>
      <w:r>
        <w:t>Show Information</w:t>
      </w:r>
    </w:p>
    <w:p w14:paraId="7098D9D7" w14:textId="042E47A3" w:rsidR="004D1D26" w:rsidRDefault="00983A16">
      <w:pPr>
        <w:spacing w:after="200"/>
      </w:pPr>
      <w:r>
        <w:rPr>
          <w:i/>
          <w:iCs/>
        </w:rPr>
        <w:t xml:space="preserve">Waiora Te Ūkaipō – The Homeland </w:t>
      </w:r>
      <w:r>
        <w:t>follows the whānau of John/Hone and Sue/Wai as they navigate the pressures of urban life, disconnection from land and culture, and the pull of home. Set in 1965, the play follows John/Hone, a sawmill worker who has moved his family from the East Cape to the South Island for work and better prospects for his children. During the show, the whānau prepare a beach-side hāngī to celebrate their youngest daughter Rongo’s 18th birthday, while family tensions slowly surface in front of their Pākehā guests.</w:t>
      </w:r>
    </w:p>
    <w:p w14:paraId="32E9F2DC" w14:textId="77777777" w:rsidR="004D1D26" w:rsidRDefault="00953D1B">
      <w:pPr>
        <w:spacing w:after="200"/>
      </w:pPr>
      <w:r>
        <w:t>Throughout the play, the whānau are surrounded by their tīpuna — their ancestors — who watch over them, unseen by most of the family. The play explores themes of colonisation and its lasting impact on iwi Māori and whānau Māori, including disconnection from whenua, the erosion of language and identity, and systemic racism.</w:t>
      </w:r>
    </w:p>
    <w:p w14:paraId="5416AF2C" w14:textId="77777777" w:rsidR="004D1D26" w:rsidRDefault="00953D1B">
      <w:pPr>
        <w:spacing w:after="200"/>
      </w:pPr>
      <w:r>
        <w:t>The production features nine performers, original waiata, haka, and a striking visual world anchored by a large white cyclorama (backdrop) that fills the back of the stage. The show contains racist and strong language, depictions of physical violence and family harm, loud and sudden sounds, strobe lighting, and haze.</w:t>
      </w:r>
    </w:p>
    <w:p w14:paraId="2B947259" w14:textId="77777777" w:rsidR="004D1D26" w:rsidRDefault="004D1D26">
      <w:pPr>
        <w:spacing w:after="80"/>
      </w:pPr>
    </w:p>
    <w:p w14:paraId="78F39C57" w14:textId="77777777" w:rsidR="004D1D26" w:rsidRDefault="00953D1B">
      <w:pPr>
        <w:spacing w:after="200"/>
      </w:pPr>
      <w:r>
        <w:rPr>
          <w:b/>
          <w:bCs/>
        </w:rPr>
        <w:t xml:space="preserve">Location: </w:t>
      </w:r>
      <w:r>
        <w:t>ASB Waterfront Theatre, 138 Halsey Street, Auckland Central, Auckland 1010. Entry through the glass doors on Halsey Street.</w:t>
      </w:r>
    </w:p>
    <w:p w14:paraId="34C1B7E8" w14:textId="77777777" w:rsidR="004D1D26" w:rsidRDefault="00953D1B">
      <w:pPr>
        <w:spacing w:after="200"/>
      </w:pPr>
      <w:r>
        <w:t>Step-free access, and wheelchair accessible seating and toilets available.</w:t>
      </w:r>
    </w:p>
    <w:p w14:paraId="06B91454" w14:textId="77777777" w:rsidR="004D1D26" w:rsidRDefault="004D1D26">
      <w:pPr>
        <w:spacing w:after="200"/>
      </w:pPr>
      <w:hyperlink r:id="rId8" w:history="1">
        <w:r>
          <w:rPr>
            <w:rStyle w:val="Hyperlink"/>
          </w:rPr>
          <w:t>ASB Waterfront Theatre’s “Know Before You Go” page with arrival info</w:t>
        </w:r>
      </w:hyperlink>
    </w:p>
    <w:p w14:paraId="054D9437" w14:textId="77777777" w:rsidR="004D1D26" w:rsidRDefault="00953D1B">
      <w:pPr>
        <w:spacing w:after="200"/>
      </w:pPr>
      <w:r>
        <w:rPr>
          <w:b/>
          <w:bCs/>
        </w:rPr>
        <w:t xml:space="preserve">Date: </w:t>
      </w:r>
      <w:r>
        <w:t>The relaxed performance on Tuesday 17 March is at 7:00pm. For the relaxed performance there is no lockout policy, and the internal theatre doors will remain open for the whole show.</w:t>
      </w:r>
    </w:p>
    <w:p w14:paraId="0C3BB037" w14:textId="77777777" w:rsidR="004D1D26" w:rsidRDefault="00953D1B">
      <w:pPr>
        <w:spacing w:after="200"/>
      </w:pPr>
      <w:r>
        <w:rPr>
          <w:b/>
          <w:bCs/>
        </w:rPr>
        <w:t xml:space="preserve">Running time: </w:t>
      </w:r>
      <w:r>
        <w:t>2 hours and 5 minutes, including interval.</w:t>
      </w:r>
    </w:p>
    <w:p w14:paraId="68E3E43A" w14:textId="77777777" w:rsidR="004D1D26" w:rsidRDefault="00953D1B">
      <w:pPr>
        <w:pStyle w:val="Heading1"/>
      </w:pPr>
      <w:r>
        <w:t>Pre-show Demonstration</w:t>
      </w:r>
    </w:p>
    <w:p w14:paraId="09B77265" w14:textId="77777777" w:rsidR="004D1D26" w:rsidRDefault="00953D1B">
      <w:pPr>
        <w:spacing w:after="200"/>
      </w:pPr>
      <w:r>
        <w:t>Before the show starts on Tuesday 17 March, we will have a pre-show demonstration on stage at 6:30pm. Please meet at the Breakout Room on Level One, and we will travel into the theatre together. The demo will introduce the lighting, sound, special effects, surprises, and characters, and we will talk about what the show will be like. We will also talk about how the relaxed show will work.</w:t>
      </w:r>
    </w:p>
    <w:p w14:paraId="5DAC40B1" w14:textId="77777777" w:rsidR="004D1D26" w:rsidRDefault="00953D1B">
      <w:pPr>
        <w:spacing w:after="200"/>
      </w:pPr>
      <w:r>
        <w:t>This document will give you even more details about the show.</w:t>
      </w:r>
    </w:p>
    <w:p w14:paraId="343AA264" w14:textId="77777777" w:rsidR="004D1D26" w:rsidRDefault="00953D1B">
      <w:pPr>
        <w:pStyle w:val="Heading1"/>
      </w:pPr>
      <w:r>
        <w:t>Relaxed Show Features</w:t>
      </w:r>
    </w:p>
    <w:p w14:paraId="487492DF" w14:textId="77777777" w:rsidR="004D1D26" w:rsidRDefault="00953D1B">
      <w:pPr>
        <w:spacing w:after="200"/>
      </w:pPr>
      <w:r>
        <w:lastRenderedPageBreak/>
        <w:t>During the relaxed performance, the audience may come and go, move around, visit breakout spaces, and use comfort and fidget items. If you need to leave during the show and then come back, please return to your same seat. Please do not go onto the stage with the performers.</w:t>
      </w:r>
    </w:p>
    <w:p w14:paraId="487492E0" w14:textId="77777777" w:rsidR="004D1D26" w:rsidRDefault="00953D1B">
      <w:pPr>
        <w:spacing w:after="200"/>
      </w:pPr>
      <w:r>
        <w:t>As the audience settles before the show begins, there will be background sound playing in the auditorium. Combined with the noise of people finding their seats and talking, this can create a busy and noisy atmosphere. If you are sensitive to sound, you may wish to wear noise-cancelling headphones or earplugs during the seating period and the opening of the show.</w:t>
      </w:r>
    </w:p>
    <w:p w14:paraId="3B3345DC" w14:textId="77777777" w:rsidR="004D1D26" w:rsidRDefault="00953D1B">
      <w:pPr>
        <w:spacing w:after="200"/>
      </w:pPr>
      <w:r>
        <w:t>There are two sets of doors leading into the theatre: internal doors and external doors. The internal doors (those directly entering the auditorium) will remain open throughout the performance. The external doors (the first set you encounter from the foyer) will remain closed but unlocked.</w:t>
      </w:r>
    </w:p>
    <w:p w14:paraId="390BE263" w14:textId="77777777" w:rsidR="004D1D26" w:rsidRDefault="00953D1B">
      <w:pPr>
        <w:spacing w:after="200"/>
      </w:pPr>
      <w:r>
        <w:t>You can leave the theatre at any time. If you need a break, there are quiet Breakout Spaces on Level 1 (Air Bridge) and Level 2 (Villa Maria Gallery). To come back into the theatre, an usher will let you in when it’s okay to return. You might have to wait outside the closed external doors for a moment. This arrangement helps maintain a balance between accessibility and minimising light and sound disruptions. If you’d like assistance to come and go, please let theatre staff know.</w:t>
      </w:r>
    </w:p>
    <w:p w14:paraId="17F8C529" w14:textId="77777777" w:rsidR="004D1D26" w:rsidRDefault="00953D1B">
      <w:pPr>
        <w:spacing w:after="200"/>
      </w:pPr>
      <w:r>
        <w:t>If you need to use devices for accessibility, please put them on silent. At the start of the show, the whole audience will be reminded with an announcement that during the relaxed performance it’s ok for the audience to be themselves.</w:t>
      </w:r>
    </w:p>
    <w:p w14:paraId="3DB07D87" w14:textId="77777777" w:rsidR="004D1D26" w:rsidRDefault="00953D1B">
      <w:pPr>
        <w:spacing w:after="200"/>
      </w:pPr>
      <w:r>
        <w:rPr>
          <w:b/>
          <w:bCs/>
        </w:rPr>
        <w:t xml:space="preserve">After the show: </w:t>
      </w:r>
      <w:r>
        <w:t>This is an emotionally powerful production. Many audience members find they need time to gather themselves at the end. There is no rush — please take the time you need in the auditorium before heading out. Front-of-house staff will be available to support you. You may also wish to wait for around five minutes before leaving, as the stairs and theatre foyer can be very crowded and noisy immediately after the performance.</w:t>
      </w:r>
    </w:p>
    <w:p w14:paraId="36CC7065" w14:textId="77777777" w:rsidR="004D1D26" w:rsidRDefault="00953D1B">
      <w:pPr>
        <w:pStyle w:val="Heading1"/>
      </w:pPr>
      <w:r>
        <w:t>Lighting</w:t>
      </w:r>
    </w:p>
    <w:p w14:paraId="5C00B00D" w14:textId="77777777" w:rsidR="004D1D26" w:rsidRDefault="00953D1B">
      <w:pPr>
        <w:spacing w:after="200"/>
      </w:pPr>
      <w:r>
        <w:t>The auditorium lights will be on softly throughout the show, so the seating area will never be entirely dark. There is lighting along the stairs and railings. The stage itself does go to a full blackout at certain moments — including just before the show begins and at some transitions during the performance — but the auditorium lights remain on so you can always see around you.</w:t>
      </w:r>
    </w:p>
    <w:p w14:paraId="216EC901" w14:textId="77777777" w:rsidR="004D1D26" w:rsidRDefault="00953D1B">
      <w:pPr>
        <w:spacing w:after="200"/>
      </w:pPr>
      <w:r>
        <w:t>The large white cyclorama at the back of the stage means the theatre can feel very bright, particularly when it is lit fully. The white backdrop reflects light throughout the space, so bright lighting moments are felt across the whole auditorium.</w:t>
      </w:r>
    </w:p>
    <w:p w14:paraId="3221DC84" w14:textId="77777777" w:rsidR="004D1D26" w:rsidRDefault="00953D1B">
      <w:pPr>
        <w:pStyle w:val="Heading2"/>
      </w:pPr>
      <w:r>
        <w:t>Opening Sequence</w:t>
      </w:r>
    </w:p>
    <w:p w14:paraId="581593C9" w14:textId="77777777" w:rsidR="004D1D26" w:rsidRDefault="00953D1B">
      <w:pPr>
        <w:spacing w:after="200"/>
      </w:pPr>
      <w:r>
        <w:t xml:space="preserve">The show opens with a slow, atmospheric sequence of roughly three minutes. Four figures cloaked in white move silently across the stage, depicting the tīpuna (ancestors). Their movement is deliberate and otherworldly rather than </w:t>
      </w:r>
      <w:r>
        <w:lastRenderedPageBreak/>
        <w:t>naturalistic — some audience members may find this eerie. The lighting is dim and gradually fades as the sequence ends, leading into the first scene.</w:t>
      </w:r>
    </w:p>
    <w:p w14:paraId="581593CA" w14:textId="77777777" w:rsidR="004D1D26" w:rsidRDefault="00953D1B">
      <w:pPr>
        <w:spacing w:after="200"/>
      </w:pPr>
      <w:r>
        <w:t>During this opening sequence there are some harsh, dissonant sounds — including screechy, feedback-like and piercing resonant tones — that sensitive listeners may wish to prepare for by covering their ears. These sounds occur only for a short time during the Opening Sequence.</w:t>
      </w:r>
    </w:p>
    <w:p w14:paraId="4ED36C12" w14:textId="77777777" w:rsidR="004D1D26" w:rsidRDefault="00953D1B">
      <w:pPr>
        <w:pStyle w:val="Heading2"/>
      </w:pPr>
      <w:r>
        <w:t>Bright White Lighting</w:t>
      </w:r>
    </w:p>
    <w:p w14:paraId="1FE5D784" w14:textId="77777777" w:rsidR="004D1D26" w:rsidRDefault="00953D1B">
      <w:pPr>
        <w:spacing w:after="200"/>
      </w:pPr>
      <w:r>
        <w:t>Several times during the show, the white cyclorama is lit intensely, creating a very bright stage and auditorium. This is most noticeable during the scene depicting fire, where lights beneath the stage floor illuminate from below, and a light bar on the back white wall pulses with a slightly strobing white light. All major lighting moments will be demonstrated before the show.</w:t>
      </w:r>
    </w:p>
    <w:p w14:paraId="4F89A8C9" w14:textId="77777777" w:rsidR="004D1D26" w:rsidRDefault="00953D1B">
      <w:pPr>
        <w:pStyle w:val="Heading2"/>
      </w:pPr>
      <w:r>
        <w:t>Strobe Lighting</w:t>
      </w:r>
    </w:p>
    <w:p w14:paraId="6F1D0BF2" w14:textId="77777777" w:rsidR="004D1D26" w:rsidRDefault="00953D1B">
      <w:pPr>
        <w:spacing w:after="200"/>
      </w:pPr>
      <w:r>
        <w:t>The production contains strobe lighting effects, most notably during the fire scene. The strobe runs as part of the show and will not be modified for the relaxed performance. It will be demonstrated and described at the pre-show demonstration so you know what to expect.</w:t>
      </w:r>
    </w:p>
    <w:p w14:paraId="48603674" w14:textId="77777777" w:rsidR="004D1D26" w:rsidRDefault="00953D1B">
      <w:pPr>
        <w:pStyle w:val="Heading2"/>
      </w:pPr>
      <w:r>
        <w:t>Haze</w:t>
      </w:r>
    </w:p>
    <w:p w14:paraId="2E15DD94" w14:textId="77777777" w:rsidR="004D1D26" w:rsidRDefault="00953D1B">
      <w:pPr>
        <w:spacing w:after="200"/>
      </w:pPr>
      <w:r>
        <w:t>Haze is used at various points throughout the production. Combined with bright lighting, this can intensify the light in the space.</w:t>
      </w:r>
    </w:p>
    <w:p w14:paraId="17E23DA7" w14:textId="77777777" w:rsidR="004D1D26" w:rsidRDefault="00953D1B">
      <w:pPr>
        <w:pStyle w:val="Heading1"/>
      </w:pPr>
      <w:r>
        <w:t>Sound</w:t>
      </w:r>
    </w:p>
    <w:p w14:paraId="5D63DCB3" w14:textId="77777777" w:rsidR="004D1D26" w:rsidRDefault="00953D1B">
      <w:pPr>
        <w:pStyle w:val="Heading2"/>
      </w:pPr>
      <w:r>
        <w:t>Opening Waiata</w:t>
      </w:r>
    </w:p>
    <w:p w14:paraId="5B169F3C" w14:textId="77777777" w:rsidR="004D1D26" w:rsidRDefault="00953D1B">
      <w:pPr>
        <w:spacing w:after="200"/>
      </w:pPr>
      <w:r>
        <w:t>Shortly after the opening sequence, nine performers come together onstage to sing an acapella waiata. This is an intimate, unaccompanied vocal performance. It is one of the quieter and more peaceful moments in the show.</w:t>
      </w:r>
    </w:p>
    <w:p w14:paraId="0DE7A355" w14:textId="77777777" w:rsidR="004D1D26" w:rsidRDefault="00953D1B">
      <w:pPr>
        <w:pStyle w:val="Heading2"/>
      </w:pPr>
      <w:r>
        <w:t>Waiata</w:t>
      </w:r>
    </w:p>
    <w:p w14:paraId="0A71A1E3" w14:textId="77777777" w:rsidR="004D1D26" w:rsidRDefault="00953D1B">
      <w:pPr>
        <w:spacing w:after="200"/>
      </w:pPr>
      <w:r>
        <w:t>There is a beautiful waiata performed by Tioreore Ngatai-Melbourne as a solo. This is a tender and still moment in the production.</w:t>
      </w:r>
    </w:p>
    <w:p w14:paraId="445C492C" w14:textId="77777777" w:rsidR="004D1D26" w:rsidRDefault="00953D1B">
      <w:pPr>
        <w:pStyle w:val="Heading2"/>
      </w:pPr>
      <w:r>
        <w:t>Haka</w:t>
      </w:r>
    </w:p>
    <w:p w14:paraId="236FF04F" w14:textId="77777777" w:rsidR="004D1D26" w:rsidRDefault="00953D1B">
      <w:pPr>
        <w:spacing w:after="200"/>
      </w:pPr>
      <w:r>
        <w:t xml:space="preserve">There are several haka performed throughout the show. These involve intense, powerful vocalisation and rhythmic stamping. </w:t>
      </w:r>
      <w:r>
        <w:rPr>
          <w:i/>
          <w:iCs/>
        </w:rPr>
        <w:t xml:space="preserve">(Note: the following contains plot detail.) </w:t>
      </w:r>
      <w:r>
        <w:t>The most significant haka comes late in Act 2, when John/Hone performs a solo haka of grief and self-recrimination, followed by a second haka directed at the gods. These are among the most physically and vocally forceful moments in the show.</w:t>
      </w:r>
    </w:p>
    <w:p w14:paraId="1862B994" w14:textId="77777777" w:rsidR="004D1D26" w:rsidRDefault="00953D1B">
      <w:pPr>
        <w:pStyle w:val="Heading2"/>
      </w:pPr>
      <w:r>
        <w:t>Loud and Sudden Sounds</w:t>
      </w:r>
    </w:p>
    <w:p w14:paraId="1E76230E" w14:textId="77777777" w:rsidR="004D1D26" w:rsidRDefault="00953D1B">
      <w:pPr>
        <w:spacing w:after="200"/>
      </w:pPr>
      <w:r>
        <w:lastRenderedPageBreak/>
        <w:t xml:space="preserve">The show contains loud and sudden sounds, particularly during scenes of family conflict. </w:t>
      </w:r>
      <w:r>
        <w:rPr>
          <w:i/>
          <w:iCs/>
        </w:rPr>
        <w:t xml:space="preserve">(Note: the following contains plot detail.) </w:t>
      </w:r>
      <w:r>
        <w:t>The fire scene, which uses strobe lighting and under-stage lighting effects, ends abruptly and transitions immediately into John/Hone shouting at Boyboy in rage and striking him. This shift from the fire sequence into the confrontation happens quickly and at high volume. There are multiple scenes of shouting and stage fighting throughout both acts. All major sound moments will be demonstrated before the show.</w:t>
      </w:r>
    </w:p>
    <w:p w14:paraId="352BA415" w14:textId="77777777" w:rsidR="004D1D26" w:rsidRDefault="00953D1B">
      <w:pPr>
        <w:pStyle w:val="Heading2"/>
      </w:pPr>
      <w:r>
        <w:t>Amplification</w:t>
      </w:r>
    </w:p>
    <w:p w14:paraId="664284DB" w14:textId="77777777" w:rsidR="004D1D26" w:rsidRDefault="00953D1B">
      <w:pPr>
        <w:spacing w:after="200"/>
      </w:pPr>
      <w:r>
        <w:t>Performers are each fitted with a microphone throughout the production. Sound levels are highest during the conflict and fight scenes.</w:t>
      </w:r>
    </w:p>
    <w:p w14:paraId="20EFAD7D" w14:textId="77777777" w:rsidR="004D1D26" w:rsidRDefault="00953D1B">
      <w:pPr>
        <w:pStyle w:val="Heading1"/>
      </w:pPr>
      <w:r>
        <w:t>Special Effects</w:t>
      </w:r>
    </w:p>
    <w:p w14:paraId="25DF456A" w14:textId="77777777" w:rsidR="004D1D26" w:rsidRDefault="00953D1B">
      <w:pPr>
        <w:pStyle w:val="Heading2"/>
      </w:pPr>
      <w:r>
        <w:t>Fire Effect</w:t>
      </w:r>
    </w:p>
    <w:p w14:paraId="0176C569" w14:textId="77777777" w:rsidR="004D1D26" w:rsidRDefault="00953D1B">
      <w:pPr>
        <w:spacing w:after="200"/>
      </w:pPr>
      <w:r>
        <w:t>The production depicts fire using lighting rather than real flames. Lights beneath the slatted wooden stage floor glow from below, and a light bar on the back white wall pulses with a slightly strobing effect. Combined with haze, this creates an immersive fire atmosphere. There are no pyrotechnics or real flames.</w:t>
      </w:r>
    </w:p>
    <w:p w14:paraId="447FEEB6" w14:textId="77777777" w:rsidR="004D1D26" w:rsidRDefault="00953D1B">
      <w:pPr>
        <w:pStyle w:val="Heading2"/>
      </w:pPr>
      <w:r>
        <w:t>Simulated Smoking</w:t>
      </w:r>
    </w:p>
    <w:p w14:paraId="7AF5A457" w14:textId="77777777" w:rsidR="004D1D26" w:rsidRDefault="00953D1B">
      <w:pPr>
        <w:spacing w:after="200"/>
      </w:pPr>
      <w:r>
        <w:t>Two characters smoke onstage during the play. They use e-cigarettes rather than real cigarettes. These produce a small amount of visible vapour, similar to a vape pen. There is no real cigarette smoke and no strong smell.</w:t>
      </w:r>
    </w:p>
    <w:p w14:paraId="3CAE9C4F" w14:textId="77777777" w:rsidR="004D1D26" w:rsidRDefault="00953D1B">
      <w:pPr>
        <w:pStyle w:val="Heading2"/>
      </w:pPr>
      <w:r>
        <w:t>Haze</w:t>
      </w:r>
    </w:p>
    <w:p w14:paraId="11AF6289" w14:textId="77777777" w:rsidR="004D1D26" w:rsidRDefault="00953D1B">
      <w:pPr>
        <w:spacing w:after="200"/>
      </w:pPr>
      <w:r>
        <w:t>Atmospheric haze is used in several scenes. It is safe to breathe and will be described at the pre-show demonstration.</w:t>
      </w:r>
    </w:p>
    <w:p w14:paraId="1063E176" w14:textId="77777777" w:rsidR="004D1D26" w:rsidRDefault="00953D1B">
      <w:pPr>
        <w:pStyle w:val="Heading1"/>
      </w:pPr>
      <w:r>
        <w:t>Audience Interaction</w:t>
      </w:r>
    </w:p>
    <w:p w14:paraId="62CD2E7A" w14:textId="77777777" w:rsidR="004D1D26" w:rsidRDefault="00953D1B">
      <w:pPr>
        <w:spacing w:after="200"/>
      </w:pPr>
      <w:r>
        <w:t>There is no direct audience interaction in this production. Performers remain on stage throughout and do not enter the audience area. No audience members will be asked to come on stage or respond to performers.</w:t>
      </w:r>
    </w:p>
    <w:p w14:paraId="747CEA84" w14:textId="77777777" w:rsidR="004D1D26" w:rsidRDefault="00953D1B">
      <w:pPr>
        <w:spacing w:after="200"/>
      </w:pPr>
      <w:r>
        <w:t>At times, performers speak directly to the audience as part of the storytelling. These moments are part of the play rather than a request for participation. You will not be required to respond.</w:t>
      </w:r>
    </w:p>
    <w:p w14:paraId="506E563F" w14:textId="4BDC08F7" w:rsidR="004D1D26" w:rsidRDefault="00953D1B">
      <w:pPr>
        <w:pStyle w:val="Heading2"/>
      </w:pPr>
      <w:r>
        <w:t>Act 2 Climax</w:t>
      </w:r>
    </w:p>
    <w:p w14:paraId="33EF9FE1" w14:textId="77777777" w:rsidR="004D1D26" w:rsidRDefault="00953D1B">
      <w:pPr>
        <w:spacing w:after="200"/>
      </w:pPr>
      <w:r>
        <w:rPr>
          <w:i/>
          <w:iCs/>
        </w:rPr>
        <w:t xml:space="preserve">(Note: the following contains plot detail.) </w:t>
      </w:r>
      <w:r>
        <w:t>The play builds to an intense and grief-laden climax in which Rongo is found unconscious and believed to be dying. Her body is brought onstage and the tīpuna sing a waiata tangi (mourning song) over her as Amiria pleads desperately for her to return. This sequence involves sustained, emotionally raw vocal performances, crying, and physical desperation before the whānau fight through haka and waiata to bring Rongo back. This is the most emotionally intense sequence in the show.</w:t>
      </w:r>
    </w:p>
    <w:p w14:paraId="773DAEE1" w14:textId="77777777" w:rsidR="004D1D26" w:rsidRDefault="00953D1B">
      <w:pPr>
        <w:pStyle w:val="Heading1"/>
      </w:pPr>
      <w:r>
        <w:lastRenderedPageBreak/>
        <w:t>Content Warnings</w:t>
      </w:r>
    </w:p>
    <w:p w14:paraId="146AE15B" w14:textId="77777777" w:rsidR="004D1D26" w:rsidRDefault="00953D1B">
      <w:pPr>
        <w:spacing w:after="200"/>
      </w:pPr>
      <w:r>
        <w:t>This production contains racist and strong language, depictions of physical violence and family harm, and themes of colonisation and its impact on iwi Māori and whānau Māori.</w:t>
      </w:r>
    </w:p>
    <w:p w14:paraId="63541E06" w14:textId="77777777" w:rsidR="004D1D26" w:rsidRDefault="00953D1B">
      <w:pPr>
        <w:pStyle w:val="Heading2"/>
      </w:pPr>
      <w:r>
        <w:t>Racism</w:t>
      </w:r>
    </w:p>
    <w:p w14:paraId="2D10AE56" w14:textId="77777777" w:rsidR="004D1D26" w:rsidRDefault="00953D1B">
      <w:pPr>
        <w:spacing w:after="200"/>
      </w:pPr>
      <w:r>
        <w:t>The racism experienced by the whānau is not only expressed through language but is embodied in the character of John/Hone’s boss, Steve Campbell, whose refusal to promote John/Hone despite his clear ability is rooted in racial prejudice. This is a sustained and central part of the drama, not an isolated moment.</w:t>
      </w:r>
    </w:p>
    <w:p w14:paraId="73FCF121" w14:textId="77777777" w:rsidR="004D1D26" w:rsidRDefault="00953D1B">
      <w:pPr>
        <w:pStyle w:val="Heading2"/>
      </w:pPr>
      <w:r>
        <w:t>Physical Violence and Family Harm</w:t>
      </w:r>
    </w:p>
    <w:p w14:paraId="49BB81AA" w14:textId="77777777" w:rsidR="004D1D26" w:rsidRDefault="00953D1B">
      <w:pPr>
        <w:spacing w:after="200"/>
      </w:pPr>
      <w:r>
        <w:rPr>
          <w:i/>
          <w:iCs/>
        </w:rPr>
        <w:t xml:space="preserve">(Note: the following contains plot detail.) </w:t>
      </w:r>
      <w:r>
        <w:t>The show depicts a parent striking a child in a moment of rage. This occurs suddenly and at high volume, immediately after the fire scene. There are also multiple scenes of loud confrontation and stage fighting between characters. All of this is planned and carefully choreographed — the actors are not actually hurting each other. These scenes deal directly with the harm that colonisation and displacement have caused within the whānau.</w:t>
      </w:r>
    </w:p>
    <w:p w14:paraId="0AD55149" w14:textId="77777777" w:rsidR="004D1D26" w:rsidRDefault="00953D1B">
      <w:pPr>
        <w:pStyle w:val="Heading2"/>
      </w:pPr>
      <w:r>
        <w:t>Language</w:t>
      </w:r>
    </w:p>
    <w:p w14:paraId="349C0921" w14:textId="77777777" w:rsidR="004D1D26" w:rsidRDefault="00953D1B">
      <w:pPr>
        <w:spacing w:after="200"/>
      </w:pPr>
      <w:r>
        <w:t>The production contains racist language and strong language as part of its honest depiction of the experiences of Māori living in urban Aotearoa.</w:t>
      </w:r>
    </w:p>
    <w:p w14:paraId="611705E3" w14:textId="77777777" w:rsidR="004D1D26" w:rsidRDefault="00953D1B">
      <w:pPr>
        <w:pStyle w:val="Heading2"/>
      </w:pPr>
      <w:r>
        <w:t>Alcohol</w:t>
      </w:r>
    </w:p>
    <w:p w14:paraId="4B49B992" w14:textId="77777777" w:rsidR="004D1D26" w:rsidRDefault="00953D1B">
      <w:pPr>
        <w:spacing w:after="200"/>
      </w:pPr>
      <w:r>
        <w:t>A character becomes visibly drunk during the birthday celebrations, which causes embarrassment and tension within the family.</w:t>
      </w:r>
    </w:p>
    <w:p w14:paraId="6660E34A" w14:textId="77777777" w:rsidR="004D1D26" w:rsidRDefault="00953D1B">
      <w:pPr>
        <w:pStyle w:val="Heading2"/>
      </w:pPr>
      <w:r>
        <w:t>Themes of Colonisation</w:t>
      </w:r>
    </w:p>
    <w:p w14:paraId="2DFC7223" w14:textId="77777777" w:rsidR="004D1D26" w:rsidRDefault="00953D1B">
      <w:pPr>
        <w:spacing w:after="200"/>
      </w:pPr>
      <w:r>
        <w:t>The play explores the long-term effects of colonisation on Māori identity, family, and connection to land and culture. These themes are woven throughout the entire production and may be emotionally resonant, particularly for Māori audiences.</w:t>
      </w:r>
    </w:p>
    <w:p w14:paraId="6660E34B" w14:textId="77777777" w:rsidR="004D1D26" w:rsidRDefault="00953D1B">
      <w:pPr>
        <w:pStyle w:val="Heading2"/>
      </w:pPr>
      <w:r>
        <w:t>Judgement</w:t>
      </w:r>
    </w:p>
    <w:p w14:paraId="2DFC7224" w14:textId="77777777" w:rsidR="004D1D26" w:rsidRDefault="00953D1B">
      <w:pPr>
        <w:spacing w:after="200"/>
      </w:pPr>
      <w:r>
        <w:t>The play contains strong and distressing depictions of judgement, persecution, and a lack of understanding — from teachers, parents, authority figures, and peers. These portrayals are realistic and sustained, and may be upsetting or triggering for those who have experienced similar treatment in their own lives.</w:t>
      </w:r>
    </w:p>
    <w:p w14:paraId="48B383E7" w14:textId="77777777" w:rsidR="004D1D26" w:rsidRDefault="00953D1B">
      <w:pPr>
        <w:spacing w:after="200"/>
      </w:pPr>
      <w:r>
        <w:t>If any of the content in the show is distressing to you, you are welcome to close your eyes, cover your ears, or leave the theatre at any time. There is a place in the foyer for you, and a staff member can bring you back in when you are ready.</w:t>
      </w:r>
    </w:p>
    <w:p w14:paraId="610E5665" w14:textId="77777777" w:rsidR="004D1D26" w:rsidRDefault="00953D1B">
      <w:pPr>
        <w:pStyle w:val="Heading1"/>
      </w:pPr>
      <w:r>
        <w:t>Want to Know More?</w:t>
      </w:r>
    </w:p>
    <w:p w14:paraId="7E155C05" w14:textId="085C1D49" w:rsidR="004D1D26" w:rsidRDefault="00953D1B">
      <w:pPr>
        <w:spacing w:after="200"/>
      </w:pPr>
      <w:r>
        <w:lastRenderedPageBreak/>
        <w:t xml:space="preserve">Reach out to Sam Phillips, Auckland Theatre Company’s Head of Learning and Participation, on </w:t>
      </w:r>
      <w:hyperlink r:id="rId9" w:history="1">
        <w:r w:rsidR="004D1D26">
          <w:rPr>
            <w:rStyle w:val="Hyperlink"/>
          </w:rPr>
          <w:t>sam@atc.co.nz</w:t>
        </w:r>
      </w:hyperlink>
      <w:r>
        <w:t>. Sam will also be at ASB Waterfront Theatre and will present the pre-show demonstration.</w:t>
      </w:r>
    </w:p>
    <w:p w14:paraId="14782B46" w14:textId="77777777" w:rsidR="004D1D26" w:rsidRDefault="004D1D26">
      <w:pPr>
        <w:spacing w:after="80"/>
      </w:pPr>
    </w:p>
    <w:p w14:paraId="6120CEDB" w14:textId="77777777" w:rsidR="004D1D26" w:rsidRDefault="004D1D26">
      <w:pPr>
        <w:spacing w:after="80"/>
      </w:pPr>
    </w:p>
    <w:p w14:paraId="42AC8AC4" w14:textId="77777777" w:rsidR="004D1D26" w:rsidRDefault="00953D1B">
      <w:pPr>
        <w:pBdr>
          <w:top w:val="single" w:sz="4" w:space="8" w:color="CCCCCC"/>
        </w:pBdr>
        <w:spacing w:after="80"/>
      </w:pPr>
      <w:r>
        <w:rPr>
          <w:color w:val="666666"/>
          <w:sz w:val="18"/>
          <w:szCs w:val="18"/>
        </w:rPr>
        <w:t xml:space="preserve">This show information by Auckland Theatre Company used a template designed and provided by </w:t>
      </w:r>
      <w:hyperlink r:id="rId10" w:history="1">
        <w:r w:rsidR="004D1D26">
          <w:rPr>
            <w:rStyle w:val="Hyperlink"/>
            <w:sz w:val="18"/>
            <w:szCs w:val="18"/>
          </w:rPr>
          <w:t>Arts Access Aotearoa</w:t>
        </w:r>
      </w:hyperlink>
      <w:r>
        <w:rPr>
          <w:color w:val="666666"/>
          <w:sz w:val="18"/>
          <w:szCs w:val="18"/>
        </w:rPr>
        <w:t>.</w:t>
      </w:r>
    </w:p>
    <w:sectPr w:rsidR="004D1D2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52586"/>
    <w:multiLevelType w:val="hybridMultilevel"/>
    <w:tmpl w:val="DAD8496C"/>
    <w:lvl w:ilvl="0" w:tplc="22EAAC38">
      <w:start w:val="1"/>
      <w:numFmt w:val="bullet"/>
      <w:lvlText w:val="●"/>
      <w:lvlJc w:val="left"/>
      <w:pPr>
        <w:ind w:left="720" w:hanging="360"/>
      </w:pPr>
    </w:lvl>
    <w:lvl w:ilvl="1" w:tplc="4C84CC62">
      <w:start w:val="1"/>
      <w:numFmt w:val="bullet"/>
      <w:lvlText w:val="○"/>
      <w:lvlJc w:val="left"/>
      <w:pPr>
        <w:ind w:left="1440" w:hanging="360"/>
      </w:pPr>
    </w:lvl>
    <w:lvl w:ilvl="2" w:tplc="7DC0CB4C">
      <w:start w:val="1"/>
      <w:numFmt w:val="bullet"/>
      <w:lvlText w:val="■"/>
      <w:lvlJc w:val="left"/>
      <w:pPr>
        <w:ind w:left="2160" w:hanging="360"/>
      </w:pPr>
    </w:lvl>
    <w:lvl w:ilvl="3" w:tplc="C84CA1AE">
      <w:start w:val="1"/>
      <w:numFmt w:val="bullet"/>
      <w:lvlText w:val="●"/>
      <w:lvlJc w:val="left"/>
      <w:pPr>
        <w:ind w:left="2880" w:hanging="360"/>
      </w:pPr>
    </w:lvl>
    <w:lvl w:ilvl="4" w:tplc="2B060F58">
      <w:start w:val="1"/>
      <w:numFmt w:val="bullet"/>
      <w:lvlText w:val="○"/>
      <w:lvlJc w:val="left"/>
      <w:pPr>
        <w:ind w:left="3600" w:hanging="360"/>
      </w:pPr>
    </w:lvl>
    <w:lvl w:ilvl="5" w:tplc="1F5A3E76">
      <w:start w:val="1"/>
      <w:numFmt w:val="bullet"/>
      <w:lvlText w:val="■"/>
      <w:lvlJc w:val="left"/>
      <w:pPr>
        <w:ind w:left="4320" w:hanging="360"/>
      </w:pPr>
    </w:lvl>
    <w:lvl w:ilvl="6" w:tplc="9EB2AFB2">
      <w:start w:val="1"/>
      <w:numFmt w:val="bullet"/>
      <w:lvlText w:val="●"/>
      <w:lvlJc w:val="left"/>
      <w:pPr>
        <w:ind w:left="5040" w:hanging="360"/>
      </w:pPr>
    </w:lvl>
    <w:lvl w:ilvl="7" w:tplc="C1206F9A">
      <w:start w:val="1"/>
      <w:numFmt w:val="bullet"/>
      <w:lvlText w:val="●"/>
      <w:lvlJc w:val="left"/>
      <w:pPr>
        <w:ind w:left="5760" w:hanging="360"/>
      </w:pPr>
    </w:lvl>
    <w:lvl w:ilvl="8" w:tplc="F0DEFF08">
      <w:start w:val="1"/>
      <w:numFmt w:val="bullet"/>
      <w:lvlText w:val="●"/>
      <w:lvlJc w:val="left"/>
      <w:pPr>
        <w:ind w:left="6480" w:hanging="360"/>
      </w:pPr>
    </w:lvl>
  </w:abstractNum>
  <w:num w:numId="1" w16cid:durableId="537357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26"/>
    <w:rsid w:val="00186F25"/>
    <w:rsid w:val="004D1D26"/>
    <w:rsid w:val="007351E8"/>
    <w:rsid w:val="007B088C"/>
    <w:rsid w:val="00983A16"/>
    <w:rsid w:val="00A677BD"/>
    <w:rsid w:val="00D87A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E5EA"/>
  <w15:docId w15:val="{16F779CE-2348-4983-80CA-2F8C30E2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000000"/>
      <w:sz w:val="32"/>
      <w:szCs w:val="32"/>
    </w:rPr>
  </w:style>
  <w:style w:type="paragraph" w:styleId="Heading2">
    <w:name w:val="heading 2"/>
    <w:uiPriority w:val="9"/>
    <w:unhideWhenUsed/>
    <w:qFormat/>
    <w:pPr>
      <w:spacing w:before="280" w:after="120"/>
      <w:outlineLvl w:val="1"/>
    </w:pPr>
    <w:rPr>
      <w:b/>
      <w:bCs/>
      <w:color w:val="00000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tc.co.nz/asb-waterfront-theatre/know-before-you-g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rtsaccess.org.nz/" TargetMode="External"/><Relationship Id="rId4" Type="http://schemas.openxmlformats.org/officeDocument/2006/relationships/numbering" Target="numbering.xml"/><Relationship Id="rId9" Type="http://schemas.openxmlformats.org/officeDocument/2006/relationships/hyperlink" Target="mailto:sam@atc.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0f33da-b013-418b-a304-f5154bf807bc">
      <Terms xmlns="http://schemas.microsoft.com/office/infopath/2007/PartnerControls"/>
    </lcf76f155ced4ddcb4097134ff3c332f>
    <TaxCatchAll xmlns="4482af33-0b47-4791-ad07-ac051b6984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C4F053D3CC140B2C1D5F2A1FF1586" ma:contentTypeVersion="14" ma:contentTypeDescription="Create a new document." ma:contentTypeScope="" ma:versionID="a94454b583561676e878523335030616">
  <xsd:schema xmlns:xsd="http://www.w3.org/2001/XMLSchema" xmlns:xs="http://www.w3.org/2001/XMLSchema" xmlns:p="http://schemas.microsoft.com/office/2006/metadata/properties" xmlns:ns2="fd0f33da-b013-418b-a304-f5154bf807bc" xmlns:ns3="4482af33-0b47-4791-ad07-ac051b698461" targetNamespace="http://schemas.microsoft.com/office/2006/metadata/properties" ma:root="true" ma:fieldsID="94e52dc7e0a6d4757eebd2eead0bbb63" ns2:_="" ns3:_="">
    <xsd:import namespace="fd0f33da-b013-418b-a304-f5154bf807bc"/>
    <xsd:import namespace="4482af33-0b47-4791-ad07-ac051b69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33da-b013-418b-a304-f5154bf80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7342a-61f0-4d10-bb9e-90199c0331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2af33-0b47-4791-ad07-ac051b698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e7c5c3-7556-484f-80b0-e5aeab86fed8}" ma:internalName="TaxCatchAll" ma:showField="CatchAllData" ma:web="4482af33-0b47-4791-ad07-ac051b6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0BD99-7DC7-4A09-80B4-F354D7386BAB}">
  <ds:schemaRefs>
    <ds:schemaRef ds:uri="http://schemas.microsoft.com/office/2006/metadata/properties"/>
    <ds:schemaRef ds:uri="http://schemas.microsoft.com/office/infopath/2007/PartnerControls"/>
    <ds:schemaRef ds:uri="fd0f33da-b013-418b-a304-f5154bf807bc"/>
    <ds:schemaRef ds:uri="4482af33-0b47-4791-ad07-ac051b698461"/>
  </ds:schemaRefs>
</ds:datastoreItem>
</file>

<file path=customXml/itemProps2.xml><?xml version="1.0" encoding="utf-8"?>
<ds:datastoreItem xmlns:ds="http://schemas.openxmlformats.org/officeDocument/2006/customXml" ds:itemID="{77E03558-5F09-4164-B369-62538E4FAFE9}">
  <ds:schemaRefs>
    <ds:schemaRef ds:uri="http://schemas.microsoft.com/sharepoint/v3/contenttype/forms"/>
  </ds:schemaRefs>
</ds:datastoreItem>
</file>

<file path=customXml/itemProps3.xml><?xml version="1.0" encoding="utf-8"?>
<ds:datastoreItem xmlns:ds="http://schemas.openxmlformats.org/officeDocument/2006/customXml" ds:itemID="{84F71657-13EC-44E8-AD72-65F462E1F753}"/>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Waiora Te Ūkaipō — Relaxed Performance Show Information</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Waiora Te Ūkaipō — Relaxed Performance Show Information</dc:title>
  <dc:creator>Auckland Theatre Company</dc:creator>
  <dc:description>Pre-show briefing for the relaxed performance of Waiora Te Ūkaipō on Tuesday 17 March 2026</dc:description>
  <cp:lastModifiedBy>Sam Phillips</cp:lastModifiedBy>
  <cp:revision>2</cp:revision>
  <dcterms:created xsi:type="dcterms:W3CDTF">2026-03-11T22:56:00Z</dcterms:created>
  <dcterms:modified xsi:type="dcterms:W3CDTF">2026-03-11T22:56:00Z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0x010100D58C4F053D3CC140B2C1D5F2A1FF1586</vt:lpwstr>
  </property>
  <property fmtid="{D5CDD505-2E9C-101B-9397-08002B2CF9AE}" pid="3" name="MediaServiceImageTags">
    <vt:lpwstr/>
  </property>
</Properties>
</file>