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5E79EA" w14:textId="77777777" w:rsidR="002063F2" w:rsidRPr="002063F2" w:rsidRDefault="002063F2" w:rsidP="002063F2">
      <w:pPr>
        <w:pStyle w:val="Subtitle"/>
        <w:jc w:val="center"/>
        <w:rPr>
          <w:rFonts w:asciiTheme="majorHAnsi" w:hAnsiTheme="majorHAnsi"/>
          <w:b/>
          <w:bCs/>
          <w:spacing w:val="-10"/>
          <w:kern w:val="28"/>
          <w:sz w:val="56"/>
          <w:szCs w:val="56"/>
        </w:rPr>
      </w:pPr>
      <w:r w:rsidRPr="002063F2">
        <w:rPr>
          <w:rFonts w:asciiTheme="majorHAnsi" w:hAnsiTheme="majorHAnsi"/>
          <w:b/>
          <w:bCs/>
          <w:spacing w:val="-10"/>
          <w:kern w:val="28"/>
          <w:sz w:val="56"/>
          <w:szCs w:val="56"/>
        </w:rPr>
        <w:t>Tiri: Te Araroa — Woman Far Walking</w:t>
      </w:r>
    </w:p>
    <w:p w14:paraId="7577EB62" w14:textId="77777777" w:rsidR="002063F2" w:rsidRPr="002063F2" w:rsidRDefault="002063F2" w:rsidP="002063F2">
      <w:pPr>
        <w:pStyle w:val="Subtitle"/>
        <w:jc w:val="center"/>
      </w:pPr>
      <w:r w:rsidRPr="002063F2">
        <w:t>by Witi Ihimaera</w:t>
      </w:r>
      <w:r w:rsidRPr="002063F2">
        <w:br/>
        <w:t>Directed by Katie Wolfe</w:t>
      </w:r>
    </w:p>
    <w:p w14:paraId="1CBE7120" w14:textId="0DF6B66A" w:rsidR="001B7135" w:rsidRDefault="001B7135" w:rsidP="001B7135">
      <w:pPr>
        <w:pStyle w:val="Subtitle"/>
        <w:jc w:val="center"/>
      </w:pPr>
      <w:r>
        <w:t>Relaxed Performance Show Information</w:t>
      </w:r>
    </w:p>
    <w:p w14:paraId="19F62301" w14:textId="4DF5B0A7" w:rsidR="001B7135" w:rsidRDefault="001B7135" w:rsidP="001B7135">
      <w:pPr>
        <w:pStyle w:val="Heading1"/>
      </w:pPr>
      <w:r>
        <w:t>Show Information</w:t>
      </w:r>
    </w:p>
    <w:p w14:paraId="2386BA87" w14:textId="77777777" w:rsidR="00D546A7" w:rsidRPr="00D546A7" w:rsidRDefault="00D546A7" w:rsidP="00D546A7">
      <w:r w:rsidRPr="00D546A7">
        <w:rPr>
          <w:i/>
          <w:iCs/>
        </w:rPr>
        <w:t>Tiri: Te Araroa — Woman Far Walking</w:t>
      </w:r>
      <w:r w:rsidRPr="00D546A7">
        <w:t xml:space="preserve"> follows Te </w:t>
      </w:r>
      <w:proofErr w:type="spellStart"/>
      <w:r w:rsidRPr="00D546A7">
        <w:t>Tiriti</w:t>
      </w:r>
      <w:proofErr w:type="spellEnd"/>
      <w:r w:rsidRPr="00D546A7">
        <w:t xml:space="preserve"> o Waitangi Mahana, known as Tiri — a 185-year-old woman born on the day the Treaty of Waitangi was signed. Tiri has lived through nearly two centuries of change in Aotearoa New Zealand and refuses to be forgotten. As Tiri recalls her life, she and her younger self (Tilly) journey through history — from the arrival of Pākehā to the New Zealand Wars, the World Wars, the Māori renaissance and protests of the 20th century, and into the present day. The play interweaves </w:t>
      </w:r>
      <w:proofErr w:type="spellStart"/>
      <w:r w:rsidRPr="00D546A7">
        <w:t>mōteatea</w:t>
      </w:r>
      <w:proofErr w:type="spellEnd"/>
      <w:r w:rsidRPr="00D546A7">
        <w:t xml:space="preserve">, haka, and </w:t>
      </w:r>
      <w:proofErr w:type="spellStart"/>
      <w:r w:rsidRPr="00D546A7">
        <w:t>karakia</w:t>
      </w:r>
      <w:proofErr w:type="spellEnd"/>
      <w:r w:rsidRPr="00D546A7">
        <w:t xml:space="preserve"> with English dialogue to reclaim stories of mana </w:t>
      </w:r>
      <w:proofErr w:type="spellStart"/>
      <w:r w:rsidRPr="00D546A7">
        <w:t>wāhine</w:t>
      </w:r>
      <w:proofErr w:type="spellEnd"/>
      <w:r w:rsidRPr="00D546A7">
        <w:t xml:space="preserve"> and the fight for justice.</w:t>
      </w:r>
    </w:p>
    <w:p w14:paraId="685F0241" w14:textId="77777777" w:rsidR="00DB6020" w:rsidRDefault="00D546A7" w:rsidP="00D546A7">
      <w:r w:rsidRPr="00D546A7">
        <w:t xml:space="preserve">Tiri's story includes her childhood in the Rainbow Valley, falling in love and raising children, surviving the devastating Land Wars of the 1860s, losing family to poisoned water, witnessing her sons go to World War One, receiving her </w:t>
      </w:r>
      <w:proofErr w:type="spellStart"/>
      <w:r w:rsidRPr="00D546A7">
        <w:t>moko</w:t>
      </w:r>
      <w:proofErr w:type="spellEnd"/>
      <w:r w:rsidRPr="00D546A7">
        <w:t xml:space="preserve">, and participating in protests. Tiri is </w:t>
      </w:r>
      <w:r w:rsidR="00DB6020">
        <w:t>185 years old, and the actor playing her is often bent over, or in pain</w:t>
      </w:r>
      <w:r w:rsidRPr="00D546A7">
        <w:t xml:space="preserve">. </w:t>
      </w:r>
    </w:p>
    <w:p w14:paraId="0DCD159C" w14:textId="2F40585F" w:rsidR="005E6492" w:rsidRPr="005E6492" w:rsidRDefault="005E6492" w:rsidP="005E6492">
      <w:r w:rsidRPr="005E6492">
        <w:t xml:space="preserve">The production uses a minimal white platform stage transformed by projections, lighting, and sound, and includes multiple haka performances, live violin, </w:t>
      </w:r>
      <w:proofErr w:type="spellStart"/>
      <w:r w:rsidRPr="005E6492">
        <w:t>karanga</w:t>
      </w:r>
      <w:proofErr w:type="spellEnd"/>
      <w:r w:rsidRPr="005E6492">
        <w:t xml:space="preserve">, and </w:t>
      </w:r>
      <w:proofErr w:type="spellStart"/>
      <w:r w:rsidRPr="005E6492">
        <w:t>mōteatea</w:t>
      </w:r>
      <w:proofErr w:type="spellEnd"/>
      <w:r w:rsidRPr="005E6492">
        <w:t>. The show contains loud sudden sounds including gunshots and war blasts, dramatic lighting shifts between blackouts and bright floods, coloured projections, and the echoing stamp of Tiri's walking sticks.</w:t>
      </w:r>
      <w:r w:rsidR="00DB6020" w:rsidRPr="00DB6020">
        <w:t xml:space="preserve"> </w:t>
      </w:r>
      <w:r w:rsidR="00DB6020">
        <w:t xml:space="preserve">The play </w:t>
      </w:r>
      <w:r w:rsidR="00DB6020" w:rsidRPr="00D546A7">
        <w:t>contains intense battle sequences with gunshot sounds and war effects.</w:t>
      </w:r>
    </w:p>
    <w:p w14:paraId="60807A20" w14:textId="77777777" w:rsidR="005E6492" w:rsidRDefault="005D1B7A" w:rsidP="002063F2">
      <w:r w:rsidRPr="005D1B7A">
        <w:t>This adaptation by Katie Wolfe (Ngāti Mutunga, Ngāti Tama, Ngāti Toa Rangatira) brings together actors Miriama McDowell and Nī Dekkers-Reihana with a creative team including Jane Hakaraia (lighting), John Verryt (set), Te Ura Hoskins (costume), Kingsley Spargo (sound and music), and Owen McCarthy (movement).</w:t>
      </w:r>
    </w:p>
    <w:p w14:paraId="264BD029" w14:textId="5C913FDB" w:rsidR="002063F2" w:rsidRPr="002063F2" w:rsidRDefault="002063F2" w:rsidP="002063F2">
      <w:r w:rsidRPr="002063F2">
        <w:t xml:space="preserve">The show runs for 1 hour </w:t>
      </w:r>
      <w:r w:rsidR="00DB6020">
        <w:t xml:space="preserve">40 </w:t>
      </w:r>
      <w:r w:rsidRPr="002063F2">
        <w:t>minutes with no interval. It includes haze, smoke, and verbal descriptions of violence (ages 10+ recommended).</w:t>
      </w:r>
    </w:p>
    <w:p w14:paraId="5FEC61F7" w14:textId="77777777" w:rsidR="00FB18B9" w:rsidRPr="000F56B9" w:rsidRDefault="00FB18B9" w:rsidP="00FB18B9">
      <w:r w:rsidRPr="000F56B9">
        <w:rPr>
          <w:b/>
          <w:bCs/>
        </w:rPr>
        <w:t>Location:</w:t>
      </w:r>
      <w:r w:rsidRPr="000F56B9">
        <w:t xml:space="preserve"> ASB Waterfront Theatre, 138 Halsey Street, Auckland Central, Auckland 1010. Entry through the glass doors on Halsey Street. </w:t>
      </w:r>
    </w:p>
    <w:p w14:paraId="0A771E65" w14:textId="77777777" w:rsidR="00FB18B9" w:rsidRPr="000F56B9" w:rsidRDefault="00FB18B9" w:rsidP="00FB18B9">
      <w:r w:rsidRPr="000F56B9">
        <w:t>Step free access, and wheelchair accessible seating and toilets available.</w:t>
      </w:r>
    </w:p>
    <w:p w14:paraId="16D5BE1E" w14:textId="77777777" w:rsidR="00FB18B9" w:rsidRDefault="00FB18B9" w:rsidP="00FB18B9">
      <w:hyperlink r:id="rId10" w:history="1">
        <w:r w:rsidRPr="000F56B9">
          <w:rPr>
            <w:rStyle w:val="Hyperlink"/>
          </w:rPr>
          <w:t>ASB Waterfront Theatre’s “Know Before You Go” page with arrival info</w:t>
        </w:r>
      </w:hyperlink>
      <w:r w:rsidRPr="000F56B9">
        <w:t xml:space="preserve">. </w:t>
      </w:r>
    </w:p>
    <w:p w14:paraId="59A18713" w14:textId="3AD617FE" w:rsidR="006116D2" w:rsidRPr="000F56B9" w:rsidRDefault="006116D2" w:rsidP="00FB18B9">
      <w:r w:rsidRPr="000F56B9">
        <w:rPr>
          <w:b/>
          <w:bCs/>
        </w:rPr>
        <w:lastRenderedPageBreak/>
        <w:t xml:space="preserve">Date: </w:t>
      </w:r>
      <w:r w:rsidRPr="000F56B9">
        <w:t xml:space="preserve">The relaxed performance on </w:t>
      </w:r>
      <w:r w:rsidRPr="00432432">
        <w:rPr>
          <w:b/>
          <w:bCs/>
        </w:rPr>
        <w:t>Tuesday 18 November</w:t>
      </w:r>
      <w:r>
        <w:t xml:space="preserve"> </w:t>
      </w:r>
      <w:r w:rsidRPr="000F56B9">
        <w:t xml:space="preserve">at </w:t>
      </w:r>
      <w:r w:rsidRPr="00427BFC">
        <w:rPr>
          <w:b/>
          <w:bCs/>
        </w:rPr>
        <w:t>7pm</w:t>
      </w:r>
      <w:r w:rsidRPr="000F56B9">
        <w:t xml:space="preserve">. For the relaxed performance there is no lockout policy, and the internal theatre doors will remain open for the whole show. </w:t>
      </w:r>
    </w:p>
    <w:p w14:paraId="3AD9DE3C" w14:textId="627658B9" w:rsidR="008C3326" w:rsidRDefault="008C3326" w:rsidP="008C3326">
      <w:pPr>
        <w:pStyle w:val="Heading1"/>
      </w:pPr>
      <w:r>
        <w:t>Pre-show Demonstration</w:t>
      </w:r>
    </w:p>
    <w:p w14:paraId="6B3D5327" w14:textId="1DDF7E3B" w:rsidR="00432432" w:rsidRPr="000F56B9" w:rsidRDefault="00432432" w:rsidP="00432432">
      <w:r w:rsidRPr="000F56B9">
        <w:t xml:space="preserve">Before the show starts on </w:t>
      </w:r>
      <w:r w:rsidRPr="00432432">
        <w:rPr>
          <w:b/>
          <w:bCs/>
        </w:rPr>
        <w:t>Tuesday 18 November</w:t>
      </w:r>
      <w:r w:rsidRPr="000F56B9">
        <w:t>, we will have a pre-show demonstration on stage at</w:t>
      </w:r>
      <w:r w:rsidRPr="000F56B9">
        <w:rPr>
          <w:b/>
          <w:bCs/>
        </w:rPr>
        <w:t xml:space="preserve"> 6.30pm</w:t>
      </w:r>
      <w:r w:rsidRPr="000F56B9">
        <w:t xml:space="preserve">. Please meet at the </w:t>
      </w:r>
      <w:r w:rsidRPr="00427BFC">
        <w:rPr>
          <w:u w:val="single"/>
        </w:rPr>
        <w:t>Breakout Room on Level One</w:t>
      </w:r>
      <w:r w:rsidRPr="000F56B9">
        <w:t xml:space="preserve">, and we will travel into the theatre together. The demo will introduce the lighting, sound, special effects, surprises, and characters, and we will talk about what the show will be like. We will also talk about how the relaxed show will work. </w:t>
      </w:r>
    </w:p>
    <w:p w14:paraId="2AABE05A" w14:textId="77777777" w:rsidR="00432432" w:rsidRPr="000F56B9" w:rsidRDefault="00432432" w:rsidP="00432432">
      <w:r w:rsidRPr="000F56B9">
        <w:t>This document will give you even more details about the show.</w:t>
      </w:r>
    </w:p>
    <w:p w14:paraId="0CBBF7F3" w14:textId="0AE4A259" w:rsidR="00282BD1" w:rsidRDefault="00282BD1" w:rsidP="00282BD1">
      <w:pPr>
        <w:pStyle w:val="Heading1"/>
      </w:pPr>
      <w:r>
        <w:t>Relaxed show features</w:t>
      </w:r>
    </w:p>
    <w:p w14:paraId="1D017AE8" w14:textId="77777777" w:rsidR="00715A2A" w:rsidRPr="000F56B9" w:rsidRDefault="00715A2A" w:rsidP="00715A2A">
      <w:r w:rsidRPr="000F56B9">
        <w:t>During the relaxed performance, the audience may come and go, move around, visit breakout spaces, and use comfort and fidget items. If you need to leave during the show and then come back, please return to your same seat. Please don't go onto the stage with the performers.</w:t>
      </w:r>
    </w:p>
    <w:p w14:paraId="5CD4D512" w14:textId="77777777" w:rsidR="00715A2A" w:rsidRPr="000F56B9" w:rsidRDefault="00715A2A" w:rsidP="00715A2A">
      <w:r w:rsidRPr="000F56B9">
        <w:t>There are two sets of doors leading into the theatre: internal doors and external doors. The internal doors (those directly entering the auditorium) will remain open throughout the performance. The external doors (the first set you encounter from the foyer) will remain closed but unlocked.</w:t>
      </w:r>
    </w:p>
    <w:p w14:paraId="6BFEF59E" w14:textId="77777777" w:rsidR="00715A2A" w:rsidRPr="000F56B9" w:rsidRDefault="00715A2A" w:rsidP="00715A2A">
      <w:r w:rsidRPr="000F56B9">
        <w:t>You can leave the theatre at any time. To come back into the theatre, an usher will let you in when it's okay to return. You might have to wait outside the closed external doors for a moment. This arrangement helps maintain a balance between accessibility and minimizing light and sound disruptions. If you'd like assistance to come and go, please let theatre staff know.</w:t>
      </w:r>
    </w:p>
    <w:p w14:paraId="2F21A5B0" w14:textId="77777777" w:rsidR="00715A2A" w:rsidRPr="000F56B9" w:rsidRDefault="00715A2A" w:rsidP="00715A2A">
      <w:r w:rsidRPr="000F56B9">
        <w:t xml:space="preserve">If you need to use devices for accessibility, please put them on silent. At the start of the show, the whole audience will be reminded with an announcement that during the relaxed performance it’s ok for the audience to be themselves. </w:t>
      </w:r>
    </w:p>
    <w:p w14:paraId="0A9F87A2" w14:textId="77777777" w:rsidR="001B7135" w:rsidRDefault="001B7135" w:rsidP="001B7135">
      <w:pPr>
        <w:pStyle w:val="Heading1"/>
      </w:pPr>
      <w:r>
        <w:t xml:space="preserve">Lighting </w:t>
      </w:r>
    </w:p>
    <w:p w14:paraId="1949770E" w14:textId="77777777" w:rsidR="00B45ED8" w:rsidRDefault="00B45ED8" w:rsidP="00B45ED8">
      <w:r w:rsidRPr="006710F0">
        <w:t>The auditorium lights will be on dimly throughout the show, so the auditorium will never be entirely dark. There is lighting along the stairs and railings.</w:t>
      </w:r>
    </w:p>
    <w:p w14:paraId="7C1DAF64" w14:textId="77777777" w:rsidR="00185A43" w:rsidRPr="00185A43" w:rsidRDefault="00185A43" w:rsidP="00185A43">
      <w:r w:rsidRPr="00185A43">
        <w:t>The lighting design by Jane Hakaraia moves from dim dawn and firelight to bright battlefields and stormy skies.</w:t>
      </w:r>
    </w:p>
    <w:p w14:paraId="37C45760" w14:textId="6F8012D1" w:rsidR="00AC3291" w:rsidRPr="00AC3291" w:rsidRDefault="00AC3291" w:rsidP="00AC3291">
      <w:r w:rsidRPr="00AC3291">
        <w:lastRenderedPageBreak/>
        <w:t xml:space="preserve">The production uses a white platform stage with rear projection screens that transform throughout the performance. Lighting shifts between different colours and intensities to mark transitions between time periods and emotional states. </w:t>
      </w:r>
    </w:p>
    <w:p w14:paraId="5F1826BD" w14:textId="77777777" w:rsidR="00957B69" w:rsidRPr="00957B69" w:rsidRDefault="00957B69" w:rsidP="00957B69">
      <w:r w:rsidRPr="00957B69">
        <w:rPr>
          <w:b/>
          <w:bCs/>
        </w:rPr>
        <w:t xml:space="preserve">Sudden Bright Lights: </w:t>
      </w:r>
      <w:r w:rsidRPr="00957B69">
        <w:t>Several times throughout the show, the stage is suddenly flooded with extremely bright white light, particularly during transitions back to present-day scenes. The white set makes these moments especially intense, and the bright light is felt throughout the whole theatre. The lighting often creates a calming, lulling atmosphere before these sudden bright flashes occur. These bright light moments are often accompanied by a loud hissing or slashing sound. The final scene includes particularly bright lighting combined with high-pitched elements.</w:t>
      </w:r>
    </w:p>
    <w:p w14:paraId="5F3B5896" w14:textId="77777777" w:rsidR="00F72C6B" w:rsidRPr="00F72C6B" w:rsidRDefault="00F72C6B" w:rsidP="00F72C6B">
      <w:r w:rsidRPr="00F72C6B">
        <w:rPr>
          <w:b/>
          <w:bCs/>
        </w:rPr>
        <w:t xml:space="preserve">Blackouts: </w:t>
      </w:r>
      <w:r w:rsidRPr="00F72C6B">
        <w:t>The theatre goes completely dark at the beginning of the play. Lights go out at the start of Part 4 before Tiri and Tilly meet in the middle of the stage. Some scenes use low lighting rather than complete darkness. The contrast between very dark moments and the sudden bright lights can be quite striking.</w:t>
      </w:r>
    </w:p>
    <w:p w14:paraId="53BFF234" w14:textId="77777777" w:rsidR="00601009" w:rsidRPr="00601009" w:rsidRDefault="00601009" w:rsidP="00601009">
      <w:r w:rsidRPr="00601009">
        <w:rPr>
          <w:b/>
          <w:bCs/>
        </w:rPr>
        <w:t xml:space="preserve">Colour Changes: </w:t>
      </w:r>
      <w:r w:rsidRPr="00601009">
        <w:t>The stage shifts between white, red, pink, green, and purple throughout the performance to mark different moments in Tiri's life. Lights darken during haka performances. Most of the coloured lighting feels calming, apart from the sudden bright white light transitions.</w:t>
      </w:r>
    </w:p>
    <w:p w14:paraId="544FAD02" w14:textId="1F0FCD02" w:rsidR="00185A43" w:rsidRPr="009326A6" w:rsidRDefault="00601009" w:rsidP="00AC3291">
      <w:r w:rsidRPr="00601009">
        <w:rPr>
          <w:b/>
          <w:bCs/>
        </w:rPr>
        <w:t>Projections and Light Effects:</w:t>
      </w:r>
      <w:r w:rsidRPr="00601009">
        <w:t xml:space="preserve"> The production uses projections including shafts of light, moving rainbows, warm embers on the floor, red splashes and tears across the stage during battle scenes, stars, fire, and other images. These effects appear on both the floor and back screens. The imagery is abstract and meditative rather than graphic - designed to evoke feelings and impressions rather than literal depictions</w:t>
      </w:r>
      <w:r w:rsidR="009326A6" w:rsidRPr="009326A6">
        <w:t>.</w:t>
      </w:r>
    </w:p>
    <w:p w14:paraId="3B6BFA99" w14:textId="06050BBA" w:rsidR="001B7135" w:rsidRDefault="001B7135" w:rsidP="001B7135">
      <w:pPr>
        <w:pStyle w:val="Heading1"/>
      </w:pPr>
      <w:r>
        <w:t>Sound</w:t>
      </w:r>
    </w:p>
    <w:p w14:paraId="2DD0D966" w14:textId="77777777" w:rsidR="00C847AF" w:rsidRDefault="00C847AF" w:rsidP="00C847AF">
      <w:r w:rsidRPr="00C847AF">
        <w:t xml:space="preserve">The sound design by Kingsley Spargo includes recorded elements: music, taonga </w:t>
      </w:r>
      <w:proofErr w:type="spellStart"/>
      <w:r w:rsidRPr="00C847AF">
        <w:t>pūoro</w:t>
      </w:r>
      <w:proofErr w:type="spellEnd"/>
      <w:r w:rsidRPr="00C847AF">
        <w:t>, thunder, and battle sounds.</w:t>
      </w:r>
    </w:p>
    <w:p w14:paraId="1384F618" w14:textId="77777777" w:rsidR="006B6CFD" w:rsidRPr="006B6CFD" w:rsidRDefault="006B6CFD" w:rsidP="006B6CFD">
      <w:r w:rsidRPr="006B6CFD">
        <w:rPr>
          <w:b/>
          <w:bCs/>
        </w:rPr>
        <w:t>Extremely Loud Opening:</w:t>
      </w:r>
      <w:r w:rsidRPr="006B6CFD">
        <w:t xml:space="preserve"> The show opens with an extremely loud, rumbling bass sound as the theatre goes dark. This sound is intense enough to cause vibrations that can be felt through the floor and throughout the theatre. This opening sound is significantly louder than any other moment in the show. While you will hear similar bass sounds again during the performance, they will not reach the same intensity as the opening.</w:t>
      </w:r>
    </w:p>
    <w:p w14:paraId="6EE1AB8B" w14:textId="77777777" w:rsidR="006B6CFD" w:rsidRPr="006B6CFD" w:rsidRDefault="006B6CFD" w:rsidP="006B6CFD">
      <w:r w:rsidRPr="006B6CFD">
        <w:rPr>
          <w:b/>
          <w:bCs/>
        </w:rPr>
        <w:t>Loud, Sudden or Startling Sounds:</w:t>
      </w:r>
      <w:r w:rsidRPr="006B6CFD">
        <w:t xml:space="preserve"> There are several loud hissing and slashing sounds that accompany sudden lighting changes, particularly during battle scenes with red imagery. In Part 3, there are three gunshot sounds during battle sequences, accompanied by visual projections of red tears. The battle sequences climax with a </w:t>
      </w:r>
      <w:r w:rsidRPr="006B6CFD">
        <w:lastRenderedPageBreak/>
        <w:t>loud cacophony of war blasts. In Part 5, there is an abrupt sound snap during a scene transition. The sound of Tiri's walking sticks and crutches stamping on the stage echoes around the theatre - these sounds are amplified by microphones under the stage. Near the end of the show, there is a significant wind or windscreen sound effect.</w:t>
      </w:r>
    </w:p>
    <w:p w14:paraId="627EDB02" w14:textId="77777777" w:rsidR="006B6CFD" w:rsidRPr="006B6CFD" w:rsidRDefault="006B6CFD" w:rsidP="006B6CFD">
      <w:r w:rsidRPr="006B6CFD">
        <w:rPr>
          <w:b/>
          <w:bCs/>
        </w:rPr>
        <w:t>Continuous and Ambient Sounds:</w:t>
      </w:r>
      <w:r w:rsidRPr="006B6CFD">
        <w:t xml:space="preserve"> Softer bass and fan sounds recur throughout the performance. Part 3 includes sounds of metal, iron, snaps, crackles, and thuds. Part 4 features bird sounds. There are moments with both high-pitch and low-pitch sounds, particularly in Part 4.</w:t>
      </w:r>
    </w:p>
    <w:p w14:paraId="37A4C65A" w14:textId="77777777" w:rsidR="006B6CFD" w:rsidRPr="006B6CFD" w:rsidRDefault="006B6CFD" w:rsidP="006B6CFD">
      <w:r w:rsidRPr="006B6CFD">
        <w:rPr>
          <w:b/>
          <w:bCs/>
        </w:rPr>
        <w:t>Music and Vocal Performances:</w:t>
      </w:r>
      <w:r w:rsidRPr="006B6CFD">
        <w:t xml:space="preserve"> The performers present several haka throughout the show, which include vocal intensity and rhythmic stamping. Tilly plays violin, performing the piece Tainui. Tilly also sings a </w:t>
      </w:r>
      <w:proofErr w:type="spellStart"/>
      <w:r w:rsidRPr="006B6CFD">
        <w:t>karanga</w:t>
      </w:r>
      <w:proofErr w:type="spellEnd"/>
      <w:r w:rsidRPr="006B6CFD">
        <w:t xml:space="preserve"> with guitar accompaniment. Tiri and Tilly sing a </w:t>
      </w:r>
      <w:proofErr w:type="spellStart"/>
      <w:r w:rsidRPr="006B6CFD">
        <w:t>mōteatea</w:t>
      </w:r>
      <w:proofErr w:type="spellEnd"/>
      <w:r w:rsidRPr="006B6CFD">
        <w:t xml:space="preserve"> (mourning song) after the battle sequences. Soft music underscores the scene when Tiri and Tilly fall to the ground. The production also includes the sound of </w:t>
      </w:r>
      <w:proofErr w:type="spellStart"/>
      <w:r w:rsidRPr="006B6CFD">
        <w:t>moko</w:t>
      </w:r>
      <w:proofErr w:type="spellEnd"/>
      <w:r w:rsidRPr="006B6CFD">
        <w:t xml:space="preserve"> tattooing (tapping sounds) in Part 5.</w:t>
      </w:r>
    </w:p>
    <w:p w14:paraId="475A3061" w14:textId="77777777" w:rsidR="006B6CFD" w:rsidRPr="006B6CFD" w:rsidRDefault="006B6CFD" w:rsidP="006B6CFD">
      <w:r w:rsidRPr="006B6CFD">
        <w:rPr>
          <w:b/>
          <w:bCs/>
        </w:rPr>
        <w:t>Pre-show Demonstration:</w:t>
      </w:r>
      <w:r w:rsidRPr="006B6CFD">
        <w:t xml:space="preserve"> All major sound cues, including the extremely loud opening bass sound, will be played during the pre-show demo so you can hear volume levels first.</w:t>
      </w:r>
    </w:p>
    <w:p w14:paraId="0C14E352" w14:textId="569D903F" w:rsidR="007302AD" w:rsidRDefault="007302AD" w:rsidP="007302AD">
      <w:pPr>
        <w:pStyle w:val="Heading1"/>
      </w:pPr>
      <w:r>
        <w:t>Special Effects</w:t>
      </w:r>
    </w:p>
    <w:p w14:paraId="04B5F533" w14:textId="77777777" w:rsidR="00BA0831" w:rsidRPr="00BA0831" w:rsidRDefault="00BA0831" w:rsidP="00BA0831">
      <w:r w:rsidRPr="00BA0831">
        <w:t>Haze and light smoke are used in several scenes.</w:t>
      </w:r>
    </w:p>
    <w:p w14:paraId="538C4C7D" w14:textId="77777777" w:rsidR="00BA0831" w:rsidRPr="00BA0831" w:rsidRDefault="00BA0831" w:rsidP="00BA0831">
      <w:r w:rsidRPr="00BA0831">
        <w:t xml:space="preserve">The production uses extensive projection effects on the white platform stage and rear screens. These include moving rainbows of light, warm embers appearing on the floor, abstract red splashes and tears that streak across the floor and screen during battle moments, a cross of light on the back wall, stars projected on the floor and screen, a shaft of fire when the village burns, and images relating to the </w:t>
      </w:r>
      <w:proofErr w:type="spellStart"/>
      <w:r w:rsidRPr="00BA0831">
        <w:t>moko</w:t>
      </w:r>
      <w:proofErr w:type="spellEnd"/>
      <w:r w:rsidRPr="00BA0831">
        <w:t xml:space="preserve"> tattooing process and sand dunes. The visual effects are designed to be meditative and evocative rather than graphic or literal.</w:t>
      </w:r>
    </w:p>
    <w:p w14:paraId="0619B1FB" w14:textId="6A22C79F" w:rsidR="001B7135" w:rsidRDefault="001B7135" w:rsidP="001B7135">
      <w:pPr>
        <w:pStyle w:val="Heading1"/>
      </w:pPr>
      <w:r>
        <w:t>Audience Interaction</w:t>
      </w:r>
    </w:p>
    <w:p w14:paraId="30E10055" w14:textId="77777777" w:rsidR="00176349" w:rsidRPr="00176349" w:rsidRDefault="00176349" w:rsidP="00176349">
      <w:r w:rsidRPr="00176349">
        <w:t>There is minimal audience interaction in this production. Performers remain on stage and do not enter the audience area or interact directly with individual audience members.</w:t>
      </w:r>
    </w:p>
    <w:p w14:paraId="42D692E6" w14:textId="77777777" w:rsidR="00176349" w:rsidRPr="00176349" w:rsidRDefault="00176349" w:rsidP="00176349">
      <w:r w:rsidRPr="00176349">
        <w:t xml:space="preserve">Early in Part 1, Tiri asks the audience if anyone speaks </w:t>
      </w:r>
      <w:proofErr w:type="spellStart"/>
      <w:r w:rsidRPr="00176349">
        <w:t>te</w:t>
      </w:r>
      <w:proofErr w:type="spellEnd"/>
      <w:r w:rsidRPr="00176349">
        <w:t xml:space="preserve"> </w:t>
      </w:r>
      <w:proofErr w:type="spellStart"/>
      <w:r w:rsidRPr="00176349">
        <w:t>reo</w:t>
      </w:r>
      <w:proofErr w:type="spellEnd"/>
      <w:r w:rsidRPr="00176349">
        <w:t xml:space="preserve"> Māori. Some audience members might respond, but there is no expectation or requirement to answer. This is a gentle moment of connection rather than a demand for participation.</w:t>
      </w:r>
    </w:p>
    <w:p w14:paraId="3CCE491D" w14:textId="77777777" w:rsidR="00176349" w:rsidRPr="00176349" w:rsidRDefault="00176349" w:rsidP="00176349">
      <w:r w:rsidRPr="00176349">
        <w:lastRenderedPageBreak/>
        <w:t xml:space="preserve">At times, performers speak directly to the audience and ask rhetorical questions to share parts of the story and to provoke thought about history and Aotearoa New Zealand's past and present. Tilly addresses the audience to explain events or take on roles such as the </w:t>
      </w:r>
      <w:proofErr w:type="gramStart"/>
      <w:r w:rsidRPr="00176349">
        <w:t>Mayor</w:t>
      </w:r>
      <w:proofErr w:type="gramEnd"/>
      <w:r w:rsidRPr="00176349">
        <w:t xml:space="preserve"> announcing war deaths. Tiri may point her walking sticks toward the audience, though not at specific individuals. The actor is very skilled at making eye contact that feels direct, but this is part of the storytelling rather than singling anyone out. These moments may feel provocative or uncomfortable, particularly for Pākehā audiences, as they invite reflection on historical and current realities. However, these moments are part of the storytelling rather than requiring interactive participation.</w:t>
      </w:r>
    </w:p>
    <w:p w14:paraId="50D7A2EB" w14:textId="77777777" w:rsidR="00176349" w:rsidRPr="00176349" w:rsidRDefault="00176349" w:rsidP="00176349">
      <w:r w:rsidRPr="00176349">
        <w:rPr>
          <w:b/>
          <w:bCs/>
        </w:rPr>
        <w:t>You will not be asked to participate, come on stage, or engage with the performers. The lights will not come up on the audience, and no microphone will come to you. It is safe to be in the audience.</w:t>
      </w:r>
    </w:p>
    <w:p w14:paraId="3E06BDBF" w14:textId="3D98E1EA" w:rsidR="00431F82" w:rsidRDefault="00431F82" w:rsidP="00431F82">
      <w:pPr>
        <w:pStyle w:val="Heading1"/>
      </w:pPr>
      <w:r>
        <w:t>Triggers</w:t>
      </w:r>
    </w:p>
    <w:p w14:paraId="26670795" w14:textId="77777777" w:rsidR="0082644B" w:rsidRPr="0082644B" w:rsidRDefault="0082644B" w:rsidP="0082644B">
      <w:r w:rsidRPr="0082644B">
        <w:rPr>
          <w:b/>
          <w:bCs/>
        </w:rPr>
        <w:t>Content Warnings:</w:t>
      </w:r>
      <w:r w:rsidRPr="0082644B">
        <w:t xml:space="preserve"> This production deals with historical trauma and loss across Tiri's 185-year life. Tiri is very old, and is represented as a person experiencing some pain, though she is primarily portrayed as a strong </w:t>
      </w:r>
      <w:proofErr w:type="gramStart"/>
      <w:r w:rsidRPr="0082644B">
        <w:t>Elder</w:t>
      </w:r>
      <w:proofErr w:type="gramEnd"/>
      <w:r w:rsidRPr="0082644B">
        <w:t xml:space="preserve"> sharing wisdom and knowledge.</w:t>
      </w:r>
    </w:p>
    <w:p w14:paraId="599AAD0E" w14:textId="77777777" w:rsidR="0082644B" w:rsidRPr="0082644B" w:rsidRDefault="0082644B" w:rsidP="0082644B">
      <w:r w:rsidRPr="0082644B">
        <w:rPr>
          <w:b/>
          <w:bCs/>
        </w:rPr>
        <w:t>Detailed Descriptions of Death:</w:t>
      </w:r>
      <w:r w:rsidRPr="0082644B">
        <w:t xml:space="preserve"> The show includes detailed verbal descriptions of how people died, including a description of someone's death that mentions "the rattle in the chest" - the kind of detail that may be triggering for anyone who has been with someone at the end of their life or has been told about such moments. These descriptions are visceral and may evoke personal memories of loss.</w:t>
      </w:r>
    </w:p>
    <w:p w14:paraId="1DEDC855" w14:textId="77777777" w:rsidR="0082644B" w:rsidRPr="0082644B" w:rsidRDefault="0082644B" w:rsidP="0082644B">
      <w:r w:rsidRPr="0082644B">
        <w:rPr>
          <w:b/>
          <w:bCs/>
        </w:rPr>
        <w:t>Violence and War:</w:t>
      </w:r>
      <w:r w:rsidRPr="0082644B">
        <w:t xml:space="preserve"> Part 3 focuses on the New Zealand Land Wars with stylised violence, gunshot sounds, and loud battle scenes. The battles include descriptions of the desecration of bodies, including scalping, and conclude with a </w:t>
      </w:r>
      <w:proofErr w:type="spellStart"/>
      <w:r w:rsidRPr="0082644B">
        <w:t>mōteatea</w:t>
      </w:r>
      <w:proofErr w:type="spellEnd"/>
      <w:r w:rsidRPr="0082644B">
        <w:t xml:space="preserve"> (mourning song). While the battle sequences are stylized rather than graphically depicted, the descriptions and implications can be intense.</w:t>
      </w:r>
    </w:p>
    <w:p w14:paraId="462B1AFA" w14:textId="77777777" w:rsidR="0082644B" w:rsidRPr="0082644B" w:rsidRDefault="0082644B" w:rsidP="0082644B">
      <w:r w:rsidRPr="0082644B">
        <w:rPr>
          <w:b/>
          <w:bCs/>
        </w:rPr>
        <w:t>Sexual Content:</w:t>
      </w:r>
      <w:r w:rsidRPr="0082644B">
        <w:t xml:space="preserve"> The show includes references to and discussion of sexual content. While not graphically depicted, there is implied sexual assault described through a character's reaction in a way that may be triggering for some audience members.</w:t>
      </w:r>
    </w:p>
    <w:p w14:paraId="7EB6C833" w14:textId="77777777" w:rsidR="0082644B" w:rsidRPr="0082644B" w:rsidRDefault="0082644B" w:rsidP="0082644B">
      <w:r w:rsidRPr="0082644B">
        <w:rPr>
          <w:b/>
          <w:bCs/>
        </w:rPr>
        <w:t>Death and Grief:</w:t>
      </w:r>
      <w:r w:rsidRPr="0082644B">
        <w:t xml:space="preserve"> The show includes multiple family deaths: Tiri's first husband (Part 1), her husband and children from poisoned water (Part 4), and references to her sons at the Battle of the Somme. Part 4 is particularly emotional. The show also depicts a village burning.</w:t>
      </w:r>
    </w:p>
    <w:p w14:paraId="452B557F" w14:textId="77777777" w:rsidR="0082644B" w:rsidRPr="0082644B" w:rsidRDefault="0082644B" w:rsidP="0082644B">
      <w:r w:rsidRPr="0082644B">
        <w:rPr>
          <w:b/>
          <w:bCs/>
        </w:rPr>
        <w:t>Emotional Arc:</w:t>
      </w:r>
      <w:r w:rsidRPr="0082644B">
        <w:t xml:space="preserve"> Despite trauma and loss, the show celebrates Tiri's resilience and survival across 185 years. The direct address and rhetorical questioning invites </w:t>
      </w:r>
      <w:r w:rsidRPr="0082644B">
        <w:lastRenderedPageBreak/>
        <w:t>audiences to reflect on Aotearoa's history, which may bring up uncomfortable feelings, particularly for Pākehā audiences.</w:t>
      </w:r>
    </w:p>
    <w:p w14:paraId="2A7BC47A" w14:textId="77777777" w:rsidR="0082644B" w:rsidRPr="0082644B" w:rsidRDefault="0082644B" w:rsidP="0082644B">
      <w:r w:rsidRPr="0082644B">
        <w:t>If you need a break at any time, please see front-of-house staff for quiet spaces on Level 1 (Air Bridge) and Level 2 (Villa Maria Gallery).</w:t>
      </w:r>
    </w:p>
    <w:p w14:paraId="0A58756B" w14:textId="06BD658F" w:rsidR="008C3326" w:rsidRDefault="008C3326" w:rsidP="008C3326">
      <w:pPr>
        <w:pStyle w:val="Heading1"/>
      </w:pPr>
      <w:r>
        <w:t>Want to know more?</w:t>
      </w:r>
    </w:p>
    <w:p w14:paraId="0F39C94F" w14:textId="77777777" w:rsidR="00993F5F" w:rsidRPr="006710F0" w:rsidRDefault="00993F5F" w:rsidP="00993F5F">
      <w:pPr>
        <w:pBdr>
          <w:bottom w:val="single" w:sz="6" w:space="1" w:color="auto"/>
        </w:pBdr>
      </w:pPr>
      <w:r w:rsidRPr="006710F0">
        <w:t xml:space="preserve">Reach out to Sam Phillips, Auckland Theatre Company’s Head of Learning and Participation, on </w:t>
      </w:r>
      <w:hyperlink r:id="rId11">
        <w:r w:rsidRPr="006710F0">
          <w:rPr>
            <w:rStyle w:val="Hyperlink"/>
          </w:rPr>
          <w:t>sam@atc.co.nz</w:t>
        </w:r>
      </w:hyperlink>
      <w:r w:rsidRPr="006710F0">
        <w:t xml:space="preserve"> or on 021</w:t>
      </w:r>
      <w:r>
        <w:t xml:space="preserve"> </w:t>
      </w:r>
      <w:r w:rsidRPr="006710F0">
        <w:t>298</w:t>
      </w:r>
      <w:r>
        <w:t xml:space="preserve"> </w:t>
      </w:r>
      <w:r w:rsidRPr="006710F0">
        <w:t xml:space="preserve">6253. Sam will also be at the ASB Waterfront Theatre and will present the pre-show demonstration. </w:t>
      </w:r>
    </w:p>
    <w:p w14:paraId="4E451DED" w14:textId="77777777" w:rsidR="00C104D0" w:rsidRDefault="00C104D0" w:rsidP="00DC4859"/>
    <w:p w14:paraId="5E2067BF" w14:textId="0A305FE7" w:rsidR="00C104D0" w:rsidRPr="005C0F4B" w:rsidRDefault="00C104D0" w:rsidP="00C104D0">
      <w:pPr>
        <w:rPr>
          <w:sz w:val="22"/>
          <w:szCs w:val="22"/>
        </w:rPr>
      </w:pPr>
      <w:r w:rsidRPr="005C0F4B">
        <w:rPr>
          <w:sz w:val="22"/>
          <w:szCs w:val="22"/>
        </w:rPr>
        <w:t>This show information</w:t>
      </w:r>
      <w:r w:rsidR="005106AB" w:rsidRPr="005C0F4B">
        <w:rPr>
          <w:sz w:val="22"/>
          <w:szCs w:val="22"/>
        </w:rPr>
        <w:t xml:space="preserve"> by Auckland Theatre Company us</w:t>
      </w:r>
      <w:r w:rsidR="006901CD">
        <w:rPr>
          <w:sz w:val="22"/>
          <w:szCs w:val="22"/>
        </w:rPr>
        <w:t xml:space="preserve">ed </w:t>
      </w:r>
      <w:r w:rsidR="005106AB" w:rsidRPr="005C0F4B">
        <w:rPr>
          <w:sz w:val="22"/>
          <w:szCs w:val="22"/>
        </w:rPr>
        <w:t>a</w:t>
      </w:r>
      <w:r w:rsidRPr="005C0F4B">
        <w:rPr>
          <w:sz w:val="22"/>
          <w:szCs w:val="22"/>
        </w:rPr>
        <w:t xml:space="preserve"> template designed and provided by </w:t>
      </w:r>
      <w:hyperlink r:id="rId12" w:history="1">
        <w:r w:rsidRPr="005C0F4B">
          <w:rPr>
            <w:rStyle w:val="Hyperlink"/>
            <w:sz w:val="22"/>
            <w:szCs w:val="22"/>
          </w:rPr>
          <w:t>Arts Access Aotearoa</w:t>
        </w:r>
      </w:hyperlink>
      <w:r w:rsidRPr="005C0F4B">
        <w:rPr>
          <w:sz w:val="22"/>
          <w:szCs w:val="22"/>
        </w:rPr>
        <w:t xml:space="preserve">. </w:t>
      </w:r>
    </w:p>
    <w:p w14:paraId="4731D760" w14:textId="77777777" w:rsidR="00C104D0" w:rsidRPr="001B7135" w:rsidRDefault="00C104D0" w:rsidP="00DC4859"/>
    <w:sectPr w:rsidR="00C104D0" w:rsidRPr="001B713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66DC06" w14:textId="77777777" w:rsidR="00FB59AD" w:rsidRDefault="00FB59AD" w:rsidP="00686777">
      <w:pPr>
        <w:spacing w:after="0" w:line="240" w:lineRule="auto"/>
      </w:pPr>
      <w:r>
        <w:separator/>
      </w:r>
    </w:p>
  </w:endnote>
  <w:endnote w:type="continuationSeparator" w:id="0">
    <w:p w14:paraId="56829522" w14:textId="77777777" w:rsidR="00FB59AD" w:rsidRDefault="00FB59AD" w:rsidP="00686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026BE0" w14:textId="77777777" w:rsidR="00FB59AD" w:rsidRDefault="00FB59AD" w:rsidP="00686777">
      <w:pPr>
        <w:spacing w:after="0" w:line="240" w:lineRule="auto"/>
      </w:pPr>
      <w:r>
        <w:separator/>
      </w:r>
    </w:p>
  </w:footnote>
  <w:footnote w:type="continuationSeparator" w:id="0">
    <w:p w14:paraId="2ED0F5AE" w14:textId="77777777" w:rsidR="00FB59AD" w:rsidRDefault="00FB59AD" w:rsidP="00686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A635A"/>
    <w:multiLevelType w:val="hybridMultilevel"/>
    <w:tmpl w:val="91F2874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1CE35E4B"/>
    <w:multiLevelType w:val="hybridMultilevel"/>
    <w:tmpl w:val="7116EF9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1D7B374B"/>
    <w:multiLevelType w:val="hybridMultilevel"/>
    <w:tmpl w:val="E06E962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32EF27E6"/>
    <w:multiLevelType w:val="multilevel"/>
    <w:tmpl w:val="DA744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C136C5"/>
    <w:multiLevelType w:val="multilevel"/>
    <w:tmpl w:val="9E940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B67A32"/>
    <w:multiLevelType w:val="hybridMultilevel"/>
    <w:tmpl w:val="8A36C352"/>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15:restartNumberingAfterBreak="0">
    <w:nsid w:val="357D3E42"/>
    <w:multiLevelType w:val="hybridMultilevel"/>
    <w:tmpl w:val="4874200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3A5B01D0"/>
    <w:multiLevelType w:val="hybridMultilevel"/>
    <w:tmpl w:val="807C724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5BAB05F1"/>
    <w:multiLevelType w:val="multilevel"/>
    <w:tmpl w:val="1B8C2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3FD3A81"/>
    <w:multiLevelType w:val="multilevel"/>
    <w:tmpl w:val="52363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40E2BFE"/>
    <w:multiLevelType w:val="hybridMultilevel"/>
    <w:tmpl w:val="CABE531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6E2148D4"/>
    <w:multiLevelType w:val="multilevel"/>
    <w:tmpl w:val="83E80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F06789D"/>
    <w:multiLevelType w:val="hybridMultilevel"/>
    <w:tmpl w:val="E1E80AC8"/>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3" w15:restartNumberingAfterBreak="0">
    <w:nsid w:val="6F933962"/>
    <w:multiLevelType w:val="multilevel"/>
    <w:tmpl w:val="221A9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7C5125A"/>
    <w:multiLevelType w:val="multilevel"/>
    <w:tmpl w:val="8410D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80694777">
    <w:abstractNumId w:val="12"/>
  </w:num>
  <w:num w:numId="2" w16cid:durableId="1991710829">
    <w:abstractNumId w:val="5"/>
  </w:num>
  <w:num w:numId="3" w16cid:durableId="41253146">
    <w:abstractNumId w:val="7"/>
  </w:num>
  <w:num w:numId="4" w16cid:durableId="1584031022">
    <w:abstractNumId w:val="10"/>
  </w:num>
  <w:num w:numId="5" w16cid:durableId="542982699">
    <w:abstractNumId w:val="6"/>
  </w:num>
  <w:num w:numId="6" w16cid:durableId="985553649">
    <w:abstractNumId w:val="2"/>
  </w:num>
  <w:num w:numId="7" w16cid:durableId="1433283319">
    <w:abstractNumId w:val="0"/>
  </w:num>
  <w:num w:numId="8" w16cid:durableId="421880308">
    <w:abstractNumId w:val="1"/>
  </w:num>
  <w:num w:numId="9" w16cid:durableId="55444520">
    <w:abstractNumId w:val="9"/>
  </w:num>
  <w:num w:numId="10" w16cid:durableId="626590498">
    <w:abstractNumId w:val="11"/>
  </w:num>
  <w:num w:numId="11" w16cid:durableId="617562027">
    <w:abstractNumId w:val="4"/>
  </w:num>
  <w:num w:numId="12" w16cid:durableId="1054622823">
    <w:abstractNumId w:val="14"/>
  </w:num>
  <w:num w:numId="13" w16cid:durableId="699597461">
    <w:abstractNumId w:val="8"/>
  </w:num>
  <w:num w:numId="14" w16cid:durableId="1995065668">
    <w:abstractNumId w:val="3"/>
  </w:num>
  <w:num w:numId="15" w16cid:durableId="11376007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135"/>
    <w:rsid w:val="00005D43"/>
    <w:rsid w:val="00015A31"/>
    <w:rsid w:val="00075DE6"/>
    <w:rsid w:val="000A2B5E"/>
    <w:rsid w:val="000B6411"/>
    <w:rsid w:val="000E15B3"/>
    <w:rsid w:val="000E6EA3"/>
    <w:rsid w:val="000F1471"/>
    <w:rsid w:val="000F3F60"/>
    <w:rsid w:val="00120EC1"/>
    <w:rsid w:val="001345CD"/>
    <w:rsid w:val="0014205A"/>
    <w:rsid w:val="001529AD"/>
    <w:rsid w:val="00154BEC"/>
    <w:rsid w:val="00176349"/>
    <w:rsid w:val="0018126B"/>
    <w:rsid w:val="00185A43"/>
    <w:rsid w:val="001B4C7F"/>
    <w:rsid w:val="001B56B6"/>
    <w:rsid w:val="001B7135"/>
    <w:rsid w:val="001E7F2E"/>
    <w:rsid w:val="002063F2"/>
    <w:rsid w:val="002323D7"/>
    <w:rsid w:val="00255510"/>
    <w:rsid w:val="00270BF7"/>
    <w:rsid w:val="00273595"/>
    <w:rsid w:val="00282BD1"/>
    <w:rsid w:val="00285FE3"/>
    <w:rsid w:val="002C547F"/>
    <w:rsid w:val="002C6251"/>
    <w:rsid w:val="00306498"/>
    <w:rsid w:val="00376498"/>
    <w:rsid w:val="003A3297"/>
    <w:rsid w:val="003C6D17"/>
    <w:rsid w:val="003E637B"/>
    <w:rsid w:val="003F709A"/>
    <w:rsid w:val="00431F82"/>
    <w:rsid w:val="00432432"/>
    <w:rsid w:val="004C553C"/>
    <w:rsid w:val="004C6D4C"/>
    <w:rsid w:val="005106AB"/>
    <w:rsid w:val="00533FE3"/>
    <w:rsid w:val="00553154"/>
    <w:rsid w:val="005574E0"/>
    <w:rsid w:val="00570967"/>
    <w:rsid w:val="005A5A01"/>
    <w:rsid w:val="005B1099"/>
    <w:rsid w:val="005C0F4B"/>
    <w:rsid w:val="005D1B7A"/>
    <w:rsid w:val="005E6492"/>
    <w:rsid w:val="005F2A57"/>
    <w:rsid w:val="00601009"/>
    <w:rsid w:val="00604752"/>
    <w:rsid w:val="006112FD"/>
    <w:rsid w:val="006116D2"/>
    <w:rsid w:val="00616E34"/>
    <w:rsid w:val="00645200"/>
    <w:rsid w:val="00660551"/>
    <w:rsid w:val="00683E9B"/>
    <w:rsid w:val="00686777"/>
    <w:rsid w:val="006901CD"/>
    <w:rsid w:val="006A5A1C"/>
    <w:rsid w:val="006B0A7D"/>
    <w:rsid w:val="006B6CFD"/>
    <w:rsid w:val="006D6857"/>
    <w:rsid w:val="007120A1"/>
    <w:rsid w:val="007143E0"/>
    <w:rsid w:val="00715A2A"/>
    <w:rsid w:val="0072028F"/>
    <w:rsid w:val="007302AD"/>
    <w:rsid w:val="00753246"/>
    <w:rsid w:val="007802CC"/>
    <w:rsid w:val="00787992"/>
    <w:rsid w:val="007E111D"/>
    <w:rsid w:val="008013E5"/>
    <w:rsid w:val="0082644B"/>
    <w:rsid w:val="00827897"/>
    <w:rsid w:val="0083783B"/>
    <w:rsid w:val="00860D43"/>
    <w:rsid w:val="00883145"/>
    <w:rsid w:val="008C3326"/>
    <w:rsid w:val="008D45FF"/>
    <w:rsid w:val="008F014A"/>
    <w:rsid w:val="00904050"/>
    <w:rsid w:val="009221B3"/>
    <w:rsid w:val="00924039"/>
    <w:rsid w:val="009326A6"/>
    <w:rsid w:val="00957B69"/>
    <w:rsid w:val="00970A84"/>
    <w:rsid w:val="00993F5F"/>
    <w:rsid w:val="009A3888"/>
    <w:rsid w:val="009E630F"/>
    <w:rsid w:val="009F4F2F"/>
    <w:rsid w:val="00A11291"/>
    <w:rsid w:val="00A17187"/>
    <w:rsid w:val="00A2752F"/>
    <w:rsid w:val="00A40A9C"/>
    <w:rsid w:val="00AA586B"/>
    <w:rsid w:val="00AC3291"/>
    <w:rsid w:val="00AC59F8"/>
    <w:rsid w:val="00AD500B"/>
    <w:rsid w:val="00AE4139"/>
    <w:rsid w:val="00B0364D"/>
    <w:rsid w:val="00B20DE5"/>
    <w:rsid w:val="00B428BD"/>
    <w:rsid w:val="00B45ED8"/>
    <w:rsid w:val="00B660E3"/>
    <w:rsid w:val="00B73027"/>
    <w:rsid w:val="00BA0831"/>
    <w:rsid w:val="00BB4B1E"/>
    <w:rsid w:val="00C104D0"/>
    <w:rsid w:val="00C60F01"/>
    <w:rsid w:val="00C70C16"/>
    <w:rsid w:val="00C8417C"/>
    <w:rsid w:val="00C847AF"/>
    <w:rsid w:val="00C97A95"/>
    <w:rsid w:val="00CB51AA"/>
    <w:rsid w:val="00CD5702"/>
    <w:rsid w:val="00CF3E84"/>
    <w:rsid w:val="00D01A6C"/>
    <w:rsid w:val="00D21A32"/>
    <w:rsid w:val="00D30D85"/>
    <w:rsid w:val="00D47C1C"/>
    <w:rsid w:val="00D546A7"/>
    <w:rsid w:val="00D55838"/>
    <w:rsid w:val="00D82DCF"/>
    <w:rsid w:val="00D87061"/>
    <w:rsid w:val="00D95E48"/>
    <w:rsid w:val="00DB6020"/>
    <w:rsid w:val="00DC4859"/>
    <w:rsid w:val="00DF0A6D"/>
    <w:rsid w:val="00E047DB"/>
    <w:rsid w:val="00E31F1B"/>
    <w:rsid w:val="00EC166A"/>
    <w:rsid w:val="00EE14B3"/>
    <w:rsid w:val="00EE4C0D"/>
    <w:rsid w:val="00EE65C9"/>
    <w:rsid w:val="00F07935"/>
    <w:rsid w:val="00F1222D"/>
    <w:rsid w:val="00F275BC"/>
    <w:rsid w:val="00F62A23"/>
    <w:rsid w:val="00F72C6B"/>
    <w:rsid w:val="00F85418"/>
    <w:rsid w:val="00FA38B0"/>
    <w:rsid w:val="00FB18B9"/>
    <w:rsid w:val="00FB59AD"/>
    <w:rsid w:val="00FC1787"/>
    <w:rsid w:val="00FE2C2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94A515"/>
  <w15:chartTrackingRefBased/>
  <w15:docId w15:val="{B2F52FAD-3DF9-4FD4-9CF8-996EEB8C5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B71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B71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B713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B713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B713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B713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713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713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713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713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713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713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713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713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71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71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71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7135"/>
    <w:rPr>
      <w:rFonts w:eastAsiaTheme="majorEastAsia" w:cstheme="majorBidi"/>
      <w:color w:val="272727" w:themeColor="text1" w:themeTint="D8"/>
    </w:rPr>
  </w:style>
  <w:style w:type="paragraph" w:styleId="Title">
    <w:name w:val="Title"/>
    <w:basedOn w:val="Normal"/>
    <w:next w:val="Normal"/>
    <w:link w:val="TitleChar"/>
    <w:uiPriority w:val="10"/>
    <w:qFormat/>
    <w:rsid w:val="001B71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71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713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71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7135"/>
    <w:pPr>
      <w:spacing w:before="160"/>
      <w:jc w:val="center"/>
    </w:pPr>
    <w:rPr>
      <w:i/>
      <w:iCs/>
      <w:color w:val="404040" w:themeColor="text1" w:themeTint="BF"/>
    </w:rPr>
  </w:style>
  <w:style w:type="character" w:customStyle="1" w:styleId="QuoteChar">
    <w:name w:val="Quote Char"/>
    <w:basedOn w:val="DefaultParagraphFont"/>
    <w:link w:val="Quote"/>
    <w:uiPriority w:val="29"/>
    <w:rsid w:val="001B7135"/>
    <w:rPr>
      <w:i/>
      <w:iCs/>
      <w:color w:val="404040" w:themeColor="text1" w:themeTint="BF"/>
    </w:rPr>
  </w:style>
  <w:style w:type="paragraph" w:styleId="ListParagraph">
    <w:name w:val="List Paragraph"/>
    <w:basedOn w:val="Normal"/>
    <w:uiPriority w:val="34"/>
    <w:qFormat/>
    <w:rsid w:val="001B7135"/>
    <w:pPr>
      <w:ind w:left="720"/>
      <w:contextualSpacing/>
    </w:pPr>
  </w:style>
  <w:style w:type="character" w:styleId="IntenseEmphasis">
    <w:name w:val="Intense Emphasis"/>
    <w:basedOn w:val="DefaultParagraphFont"/>
    <w:uiPriority w:val="21"/>
    <w:qFormat/>
    <w:rsid w:val="001B7135"/>
    <w:rPr>
      <w:i/>
      <w:iCs/>
      <w:color w:val="0F4761" w:themeColor="accent1" w:themeShade="BF"/>
    </w:rPr>
  </w:style>
  <w:style w:type="paragraph" w:styleId="IntenseQuote">
    <w:name w:val="Intense Quote"/>
    <w:basedOn w:val="Normal"/>
    <w:next w:val="Normal"/>
    <w:link w:val="IntenseQuoteChar"/>
    <w:uiPriority w:val="30"/>
    <w:qFormat/>
    <w:rsid w:val="001B71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7135"/>
    <w:rPr>
      <w:i/>
      <w:iCs/>
      <w:color w:val="0F4761" w:themeColor="accent1" w:themeShade="BF"/>
    </w:rPr>
  </w:style>
  <w:style w:type="character" w:styleId="IntenseReference">
    <w:name w:val="Intense Reference"/>
    <w:basedOn w:val="DefaultParagraphFont"/>
    <w:uiPriority w:val="32"/>
    <w:qFormat/>
    <w:rsid w:val="001B7135"/>
    <w:rPr>
      <w:b/>
      <w:bCs/>
      <w:smallCaps/>
      <w:color w:val="0F4761" w:themeColor="accent1" w:themeShade="BF"/>
      <w:spacing w:val="5"/>
    </w:rPr>
  </w:style>
  <w:style w:type="character" w:styleId="Hyperlink">
    <w:name w:val="Hyperlink"/>
    <w:basedOn w:val="DefaultParagraphFont"/>
    <w:uiPriority w:val="99"/>
    <w:unhideWhenUsed/>
    <w:rsid w:val="001B7135"/>
    <w:rPr>
      <w:color w:val="467886" w:themeColor="hyperlink"/>
      <w:u w:val="single"/>
    </w:rPr>
  </w:style>
  <w:style w:type="character" w:styleId="UnresolvedMention">
    <w:name w:val="Unresolved Mention"/>
    <w:basedOn w:val="DefaultParagraphFont"/>
    <w:uiPriority w:val="99"/>
    <w:semiHidden/>
    <w:unhideWhenUsed/>
    <w:rsid w:val="001B7135"/>
    <w:rPr>
      <w:color w:val="605E5C"/>
      <w:shd w:val="clear" w:color="auto" w:fill="E1DFDD"/>
    </w:rPr>
  </w:style>
  <w:style w:type="paragraph" w:styleId="Header">
    <w:name w:val="header"/>
    <w:basedOn w:val="Normal"/>
    <w:link w:val="HeaderChar"/>
    <w:uiPriority w:val="99"/>
    <w:unhideWhenUsed/>
    <w:rsid w:val="006867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6777"/>
  </w:style>
  <w:style w:type="paragraph" w:styleId="Footer">
    <w:name w:val="footer"/>
    <w:basedOn w:val="Normal"/>
    <w:link w:val="FooterChar"/>
    <w:uiPriority w:val="99"/>
    <w:unhideWhenUsed/>
    <w:rsid w:val="006867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67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artsaccess.org.n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am@atc.co.nz" TargetMode="External"/><Relationship Id="rId5" Type="http://schemas.openxmlformats.org/officeDocument/2006/relationships/styles" Target="styles.xml"/><Relationship Id="rId10" Type="http://schemas.openxmlformats.org/officeDocument/2006/relationships/hyperlink" Target="https://www.atc.co.nz/asb-waterfront-theatre/know-before-you-go"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2A364B86EC16646894E09930CE693D0" ma:contentTypeVersion="14" ma:contentTypeDescription="Create a new document." ma:contentTypeScope="" ma:versionID="528b3cc13d02cb6b73672c643e041359">
  <xsd:schema xmlns:xsd="http://www.w3.org/2001/XMLSchema" xmlns:xs="http://www.w3.org/2001/XMLSchema" xmlns:p="http://schemas.microsoft.com/office/2006/metadata/properties" xmlns:ns2="ccb8bc87-247f-4868-b64f-66158b5de6b6" xmlns:ns3="4482af33-0b47-4791-ad07-ac051b698461" targetNamespace="http://schemas.microsoft.com/office/2006/metadata/properties" ma:root="true" ma:fieldsID="6067ddef780d7096006a170f70631a19" ns2:_="" ns3:_="">
    <xsd:import namespace="ccb8bc87-247f-4868-b64f-66158b5de6b6"/>
    <xsd:import namespace="4482af33-0b47-4791-ad07-ac051b69846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b8bc87-247f-4868-b64f-66158b5de6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f87342a-61f0-4d10-bb9e-90199c0331a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82af33-0b47-4791-ad07-ac051b69846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0e7c5c3-7556-484f-80b0-e5aeab86fed8}" ma:internalName="TaxCatchAll" ma:showField="CatchAllData" ma:web="4482af33-0b47-4791-ad07-ac051b6984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cb8bc87-247f-4868-b64f-66158b5de6b6">
      <Terms xmlns="http://schemas.microsoft.com/office/infopath/2007/PartnerControls"/>
    </lcf76f155ced4ddcb4097134ff3c332f>
    <TaxCatchAll xmlns="4482af33-0b47-4791-ad07-ac051b698461" xsi:nil="true"/>
  </documentManagement>
</p:properties>
</file>

<file path=customXml/itemProps1.xml><?xml version="1.0" encoding="utf-8"?>
<ds:datastoreItem xmlns:ds="http://schemas.openxmlformats.org/officeDocument/2006/customXml" ds:itemID="{5FDC341A-6AAB-4739-9317-F3A294556E17}">
  <ds:schemaRefs>
    <ds:schemaRef ds:uri="http://schemas.microsoft.com/sharepoint/v3/contenttype/forms"/>
  </ds:schemaRefs>
</ds:datastoreItem>
</file>

<file path=customXml/itemProps2.xml><?xml version="1.0" encoding="utf-8"?>
<ds:datastoreItem xmlns:ds="http://schemas.openxmlformats.org/officeDocument/2006/customXml" ds:itemID="{8B848EA4-2847-493B-8D13-95F493C441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b8bc87-247f-4868-b64f-66158b5de6b6"/>
    <ds:schemaRef ds:uri="4482af33-0b47-4791-ad07-ac051b6984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7E9895-4A15-4F3C-A6D2-1218869B1006}">
  <ds:schemaRefs>
    <ds:schemaRef ds:uri="http://schemas.microsoft.com/office/2006/metadata/properties"/>
    <ds:schemaRef ds:uri="http://schemas.microsoft.com/office/infopath/2007/PartnerControls"/>
    <ds:schemaRef ds:uri="ccb8bc87-247f-4868-b64f-66158b5de6b6"/>
    <ds:schemaRef ds:uri="4482af33-0b47-4791-ad07-ac051b698461"/>
  </ds:schemaRefs>
</ds:datastoreItem>
</file>

<file path=docProps/app.xml><?xml version="1.0" encoding="utf-8"?>
<Properties xmlns="http://schemas.openxmlformats.org/officeDocument/2006/extended-properties" xmlns:vt="http://schemas.openxmlformats.org/officeDocument/2006/docPropsVTypes">
  <Template>Normal</Template>
  <TotalTime>252</TotalTime>
  <Pages>6</Pages>
  <Words>1929</Words>
  <Characters>11001</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Querin</dc:creator>
  <cp:keywords/>
  <dc:description/>
  <cp:lastModifiedBy>Sam Phillips</cp:lastModifiedBy>
  <cp:revision>96</cp:revision>
  <dcterms:created xsi:type="dcterms:W3CDTF">2024-12-10T21:30:00Z</dcterms:created>
  <dcterms:modified xsi:type="dcterms:W3CDTF">2025-11-07T03:20:00Z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0x01010092A364B86EC16646894E09930CE693D0</vt:lpwstr>
  </property>
  <property fmtid="{D5CDD505-2E9C-101B-9397-08002B2CF9AE}" pid="3" name="MediaServiceImageTags">
    <vt:lpwstr/>
  </property>
</Properties>
</file>